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79065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0DAB3DDA"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C24AF1">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79065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790656">
        <w:trPr>
          <w:trHeight w:val="68"/>
          <w:jc w:val="center"/>
        </w:trPr>
        <w:tc>
          <w:tcPr>
            <w:tcW w:w="8782" w:type="dxa"/>
            <w:gridSpan w:val="2"/>
          </w:tcPr>
          <w:p w14:paraId="1D8DD3C9" w14:textId="62C05688" w:rsidR="00AA7D26" w:rsidRPr="00A0035F" w:rsidRDefault="00AA7D26" w:rsidP="00AA7D26">
            <w:pPr>
              <w:ind w:left="-107"/>
              <w:outlineLvl w:val="2"/>
              <w:rPr>
                <w:rFonts w:ascii="Tahoma" w:hAnsi="Tahoma" w:cs="Tahoma"/>
                <w:bCs/>
                <w:color w:val="000000"/>
                <w:sz w:val="14"/>
                <w:szCs w:val="14"/>
                <w:lang w:val="it-IT" w:eastAsia="it-IT"/>
              </w:rPr>
            </w:pPr>
            <w:r w:rsidRPr="00A0035F">
              <w:rPr>
                <w:rFonts w:ascii="Tahoma" w:hAnsi="Tahoma" w:cs="Tahoma"/>
                <w:iCs/>
                <w:color w:val="333333"/>
                <w:sz w:val="14"/>
                <w:szCs w:val="14"/>
                <w:lang w:val="it-IT" w:eastAsia="it-IT"/>
              </w:rPr>
              <w:t>Guest Editors:</w:t>
            </w:r>
            <w:r w:rsidRPr="00A0035F">
              <w:rPr>
                <w:rFonts w:ascii="Tahoma" w:hAnsi="Tahoma" w:cs="Tahoma"/>
                <w:color w:val="000000"/>
                <w:sz w:val="14"/>
                <w:szCs w:val="14"/>
                <w:shd w:val="clear" w:color="auto" w:fill="FFFFFF"/>
                <w:lang w:val="it-IT"/>
              </w:rPr>
              <w:t xml:space="preserve"> </w:t>
            </w:r>
            <w:r w:rsidR="00A0035F" w:rsidRPr="005E72C6">
              <w:rPr>
                <w:rFonts w:ascii="Tahoma" w:hAnsi="Tahoma" w:cs="Tahoma"/>
                <w:color w:val="000000"/>
                <w:sz w:val="14"/>
                <w:szCs w:val="14"/>
                <w:shd w:val="clear" w:color="auto" w:fill="FFFFFF"/>
                <w:lang w:val="it-IT"/>
              </w:rPr>
              <w:t>Laura Piazza, Francesco Donsì</w:t>
            </w:r>
            <w:r w:rsidR="005E72C6" w:rsidRPr="005E72C6">
              <w:rPr>
                <w:rFonts w:ascii="Tahoma" w:hAnsi="Tahoma" w:cs="Tahoma"/>
                <w:color w:val="000000"/>
                <w:sz w:val="14"/>
                <w:szCs w:val="14"/>
                <w:shd w:val="clear" w:color="auto" w:fill="FFFFFF"/>
                <w:lang w:val="it-IT"/>
              </w:rPr>
              <w:t>,</w:t>
            </w:r>
            <w:r w:rsidR="00A0035F" w:rsidRPr="005E72C6">
              <w:rPr>
                <w:rFonts w:ascii="Tahoma" w:hAnsi="Tahoma" w:cs="Tahoma"/>
                <w:color w:val="000000"/>
                <w:sz w:val="14"/>
                <w:szCs w:val="14"/>
                <w:shd w:val="clear" w:color="auto" w:fill="FFFFFF"/>
                <w:lang w:val="it-IT"/>
              </w:rPr>
              <w:t xml:space="preserve"> Giorgia Spigno</w:t>
            </w:r>
          </w:p>
          <w:p w14:paraId="1B0F1814" w14:textId="7ED5C28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C24AF1">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3312AE">
              <w:rPr>
                <w:rFonts w:ascii="Tahoma" w:hAnsi="Tahoma" w:cs="Tahoma"/>
                <w:sz w:val="14"/>
                <w:szCs w:val="14"/>
              </w:rPr>
              <w:t>19</w:t>
            </w:r>
            <w:r w:rsidR="00D2582C">
              <w:rPr>
                <w:rFonts w:ascii="Tahoma" w:hAnsi="Tahoma" w:cs="Tahoma"/>
                <w:sz w:val="14"/>
                <w:szCs w:val="14"/>
              </w:rPr>
              <w:t>-</w:t>
            </w:r>
            <w:r w:rsidR="003312AE">
              <w:rPr>
                <w:rFonts w:ascii="Tahoma" w:hAnsi="Tahoma" w:cs="Tahoma"/>
                <w:sz w:val="14"/>
                <w:szCs w:val="14"/>
              </w:rPr>
              <w:t>9</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E1CA5B7" w:rsidR="00E978D0" w:rsidRPr="00B57B36" w:rsidRDefault="00790656" w:rsidP="00E978D0">
      <w:pPr>
        <w:pStyle w:val="CETTitle"/>
      </w:pPr>
      <w:proofErr w:type="spellStart"/>
      <w:r w:rsidRPr="00790656">
        <w:rPr>
          <w:lang w:val="en-MY"/>
        </w:rPr>
        <w:t>Physico</w:t>
      </w:r>
      <w:proofErr w:type="spellEnd"/>
      <w:r w:rsidRPr="00790656">
        <w:rPr>
          <w:lang w:val="en-MY"/>
        </w:rPr>
        <w:t xml:space="preserve">-chemical Properties and Microbiological Composition </w:t>
      </w:r>
      <w:r w:rsidR="004C2E86">
        <w:rPr>
          <w:lang w:val="en-MY"/>
        </w:rPr>
        <w:t>of</w:t>
      </w:r>
      <w:r w:rsidRPr="00790656">
        <w:rPr>
          <w:lang w:val="en-MY"/>
        </w:rPr>
        <w:t xml:space="preserve"> Optimised </w:t>
      </w:r>
      <w:r w:rsidRPr="00790656">
        <w:rPr>
          <w:i/>
          <w:iCs/>
          <w:lang w:val="en-MY"/>
        </w:rPr>
        <w:t>Tempeh</w:t>
      </w:r>
      <w:r w:rsidRPr="00790656">
        <w:rPr>
          <w:lang w:val="en-MY"/>
        </w:rPr>
        <w:t xml:space="preserve"> and Milk Kefir</w:t>
      </w:r>
    </w:p>
    <w:p w14:paraId="0488FED2" w14:textId="2B91370E" w:rsidR="00B57E6F" w:rsidRPr="00B57B36" w:rsidRDefault="00790656" w:rsidP="00B57E6F">
      <w:pPr>
        <w:pStyle w:val="CETAuthors"/>
      </w:pPr>
      <w:r>
        <w:t>Nyuk L</w:t>
      </w:r>
      <w:r w:rsidR="00BD5A18">
        <w:t>.</w:t>
      </w:r>
      <w:r>
        <w:t xml:space="preserve"> Chin</w:t>
      </w:r>
      <w:r w:rsidR="00B57E6F" w:rsidRPr="00B57B36">
        <w:t>*,</w:t>
      </w:r>
      <w:r>
        <w:t xml:space="preserve"> Joyce J</w:t>
      </w:r>
      <w:r w:rsidR="00BD5A18">
        <w:t>.</w:t>
      </w:r>
      <w:r>
        <w:t>L</w:t>
      </w:r>
      <w:r w:rsidR="00BD5A18">
        <w:t>.</w:t>
      </w:r>
      <w:r>
        <w:t xml:space="preserve"> Lim</w:t>
      </w:r>
      <w:r w:rsidR="00BE024D">
        <w:t xml:space="preserve">, </w:t>
      </w:r>
      <w:r w:rsidR="00BD5A18">
        <w:t>Sze Q</w:t>
      </w:r>
      <w:r w:rsidR="00BD5A18">
        <w:t>.</w:t>
      </w:r>
      <w:r w:rsidR="00BD5A18">
        <w:t xml:space="preserve"> Teoh </w:t>
      </w:r>
    </w:p>
    <w:p w14:paraId="40204CE0" w14:textId="5C8E0016" w:rsidR="00790656" w:rsidRPr="00790656" w:rsidRDefault="00790656" w:rsidP="00BE024D">
      <w:pPr>
        <w:pStyle w:val="CETAddress"/>
        <w:jc w:val="both"/>
        <w:rPr>
          <w:iCs/>
          <w:lang w:val="en-MY"/>
        </w:rPr>
      </w:pPr>
      <w:r w:rsidRPr="00790656">
        <w:rPr>
          <w:iCs/>
          <w:lang w:val="en-MY"/>
        </w:rPr>
        <w:t>Department of Process and Food Engineering, Faculty of Engineering,</w:t>
      </w:r>
      <w:r>
        <w:rPr>
          <w:iCs/>
          <w:lang w:val="en-MY"/>
        </w:rPr>
        <w:t xml:space="preserve"> Universiti Putra Malaysia, 43400 UPM</w:t>
      </w:r>
      <w:r w:rsidR="006F4CB6">
        <w:rPr>
          <w:iCs/>
          <w:lang w:val="en-MY"/>
        </w:rPr>
        <w:t xml:space="preserve">, </w:t>
      </w:r>
      <w:r>
        <w:rPr>
          <w:iCs/>
          <w:lang w:val="en-MY"/>
        </w:rPr>
        <w:t>Serdang, Selangor, M</w:t>
      </w:r>
      <w:r w:rsidR="00BE024D">
        <w:rPr>
          <w:iCs/>
          <w:lang w:val="en-MY"/>
        </w:rPr>
        <w:t>ALAYSIA.</w:t>
      </w:r>
    </w:p>
    <w:p w14:paraId="325C1225" w14:textId="4D4ADF75" w:rsidR="00681460" w:rsidRPr="009378F0" w:rsidRDefault="00790656" w:rsidP="00681460">
      <w:pPr>
        <w:pStyle w:val="CETemail"/>
      </w:pPr>
      <w:r>
        <w:t>chinnl</w:t>
      </w:r>
      <w:r w:rsidR="00681460" w:rsidRPr="00B57B36">
        <w:t>@</w:t>
      </w:r>
      <w:r>
        <w:t>upm.edu.my</w:t>
      </w:r>
    </w:p>
    <w:p w14:paraId="1E5EAB14" w14:textId="461CC805" w:rsidR="00790656" w:rsidRPr="00790656" w:rsidRDefault="00790656" w:rsidP="00790656">
      <w:pPr>
        <w:pStyle w:val="CETnumberingbullets"/>
        <w:numPr>
          <w:ilvl w:val="0"/>
          <w:numId w:val="0"/>
        </w:numPr>
        <w:jc w:val="both"/>
        <w:rPr>
          <w:lang w:val="en-US"/>
        </w:rPr>
      </w:pPr>
      <w:r w:rsidRPr="00790656">
        <w:rPr>
          <w:lang w:val="en-US"/>
        </w:rPr>
        <w:t>The fermentation process of two selected f</w:t>
      </w:r>
      <w:r w:rsidRPr="00790656">
        <w:rPr>
          <w:lang w:val="de-DE"/>
        </w:rPr>
        <w:t xml:space="preserve">ermented foods, </w:t>
      </w:r>
      <w:r w:rsidRPr="00790656">
        <w:rPr>
          <w:i/>
          <w:iCs/>
          <w:lang w:val="de-DE"/>
        </w:rPr>
        <w:t>t</w:t>
      </w:r>
      <w:proofErr w:type="spellStart"/>
      <w:r w:rsidRPr="00790656">
        <w:rPr>
          <w:i/>
          <w:iCs/>
          <w:lang w:val="en-US"/>
        </w:rPr>
        <w:t>empeh</w:t>
      </w:r>
      <w:proofErr w:type="spellEnd"/>
      <w:r w:rsidRPr="00790656">
        <w:rPr>
          <w:lang w:val="en-US"/>
        </w:rPr>
        <w:t xml:space="preserve"> and milk </w:t>
      </w:r>
      <w:proofErr w:type="gramStart"/>
      <w:r w:rsidRPr="00790656">
        <w:rPr>
          <w:lang w:val="en-US"/>
        </w:rPr>
        <w:t>kefir</w:t>
      </w:r>
      <w:proofErr w:type="gramEnd"/>
      <w:r w:rsidRPr="00790656">
        <w:rPr>
          <w:lang w:val="en-US"/>
        </w:rPr>
        <w:t xml:space="preserve"> are commonly performed at </w:t>
      </w:r>
      <w:r w:rsidRPr="00790656">
        <w:rPr>
          <w:lang w:val="de-DE"/>
        </w:rPr>
        <w:t xml:space="preserve">small scale in homes as part of </w:t>
      </w:r>
      <w:proofErr w:type="gramStart"/>
      <w:r w:rsidRPr="00790656">
        <w:rPr>
          <w:lang w:val="de-DE"/>
        </w:rPr>
        <w:t>healthy</w:t>
      </w:r>
      <w:proofErr w:type="gramEnd"/>
      <w:r w:rsidRPr="00790656">
        <w:rPr>
          <w:lang w:val="de-DE"/>
        </w:rPr>
        <w:t xml:space="preserve"> diet following local culture practise. Due to much variations in every fermentatio</w:t>
      </w:r>
      <w:r w:rsidR="007636D0">
        <w:rPr>
          <w:lang w:val="de-DE"/>
        </w:rPr>
        <w:t>n</w:t>
      </w:r>
      <w:r w:rsidRPr="00790656">
        <w:rPr>
          <w:lang w:val="de-DE"/>
        </w:rPr>
        <w:t xml:space="preserve"> process, </w:t>
      </w:r>
      <w:r w:rsidRPr="00790656">
        <w:rPr>
          <w:lang w:val="en-US"/>
        </w:rPr>
        <w:t xml:space="preserve">the changes in </w:t>
      </w:r>
      <w:proofErr w:type="spellStart"/>
      <w:r w:rsidRPr="00790656">
        <w:rPr>
          <w:lang w:val="en-US"/>
        </w:rPr>
        <w:t>physico</w:t>
      </w:r>
      <w:proofErr w:type="spellEnd"/>
      <w:r w:rsidRPr="00790656">
        <w:rPr>
          <w:lang w:val="en-US"/>
        </w:rPr>
        <w:t xml:space="preserve">-chemical and microbiological properties were studied and compared with commercial products. The fermentation parameters including temperature, time and humidity were </w:t>
      </w:r>
      <w:proofErr w:type="spellStart"/>
      <w:r w:rsidRPr="00790656">
        <w:rPr>
          <w:lang w:val="en-US"/>
        </w:rPr>
        <w:t>optimised</w:t>
      </w:r>
      <w:proofErr w:type="spellEnd"/>
      <w:r w:rsidRPr="00790656">
        <w:rPr>
          <w:lang w:val="en-US"/>
        </w:rPr>
        <w:t xml:space="preserve"> for desired </w:t>
      </w:r>
      <w:r w:rsidR="007636D0">
        <w:rPr>
          <w:lang w:val="en-US"/>
        </w:rPr>
        <w:t>product</w:t>
      </w:r>
      <w:r w:rsidRPr="00790656">
        <w:rPr>
          <w:lang w:val="en-US"/>
        </w:rPr>
        <w:t xml:space="preserve"> qualities using Response Surface Methodology (RSM) following the three factors Box Beh</w:t>
      </w:r>
      <w:r w:rsidR="007250B3">
        <w:rPr>
          <w:lang w:val="en-US"/>
        </w:rPr>
        <w:t>n</w:t>
      </w:r>
      <w:r w:rsidRPr="00790656">
        <w:rPr>
          <w:lang w:val="en-US"/>
        </w:rPr>
        <w:t xml:space="preserve">ken design (BBD) for </w:t>
      </w:r>
      <w:r w:rsidRPr="00790656">
        <w:rPr>
          <w:i/>
          <w:iCs/>
          <w:lang w:val="en-US"/>
        </w:rPr>
        <w:t>tempeh</w:t>
      </w:r>
      <w:r w:rsidRPr="00790656">
        <w:rPr>
          <w:lang w:val="en-US"/>
        </w:rPr>
        <w:t xml:space="preserve"> and two factors central composite design (CCD) for milk kefir. The </w:t>
      </w:r>
      <w:proofErr w:type="spellStart"/>
      <w:r w:rsidRPr="00790656">
        <w:rPr>
          <w:lang w:val="en-US"/>
        </w:rPr>
        <w:t>optimised</w:t>
      </w:r>
      <w:proofErr w:type="spellEnd"/>
      <w:r w:rsidRPr="00790656">
        <w:rPr>
          <w:lang w:val="en-US"/>
        </w:rPr>
        <w:t xml:space="preserve"> processing conditions for </w:t>
      </w:r>
      <w:r w:rsidRPr="00790656">
        <w:rPr>
          <w:i/>
          <w:iCs/>
          <w:lang w:val="en-US"/>
        </w:rPr>
        <w:t>tempeh</w:t>
      </w:r>
      <w:r w:rsidRPr="00790656">
        <w:rPr>
          <w:lang w:val="en-US"/>
        </w:rPr>
        <w:t xml:space="preserve"> was 33.</w:t>
      </w:r>
      <w:r w:rsidR="005B7981">
        <w:rPr>
          <w:lang w:val="en-US"/>
        </w:rPr>
        <w:t>1</w:t>
      </w:r>
      <w:r w:rsidR="00455E98">
        <w:rPr>
          <w:lang w:val="en-US"/>
        </w:rPr>
        <w:t> </w:t>
      </w:r>
      <w:r w:rsidRPr="00790656">
        <w:rPr>
          <w:lang w:val="en-US"/>
        </w:rPr>
        <w:t>°C</w:t>
      </w:r>
      <w:r>
        <w:rPr>
          <w:lang w:val="en-US"/>
        </w:rPr>
        <w:t xml:space="preserve"> </w:t>
      </w:r>
      <w:r w:rsidRPr="00790656">
        <w:rPr>
          <w:lang w:val="en-US"/>
        </w:rPr>
        <w:t>for 34.</w:t>
      </w:r>
      <w:r w:rsidR="005B7981">
        <w:rPr>
          <w:lang w:val="en-US"/>
        </w:rPr>
        <w:t>1</w:t>
      </w:r>
      <w:r w:rsidRPr="00790656">
        <w:rPr>
          <w:lang w:val="en-US"/>
        </w:rPr>
        <w:t xml:space="preserve"> </w:t>
      </w:r>
      <w:r w:rsidR="00F71D7F">
        <w:rPr>
          <w:lang w:val="en-US"/>
        </w:rPr>
        <w:t>h</w:t>
      </w:r>
      <w:r w:rsidR="00F27BA1">
        <w:rPr>
          <w:lang w:val="en-US"/>
        </w:rPr>
        <w:t>ours</w:t>
      </w:r>
      <w:r w:rsidRPr="00790656">
        <w:rPr>
          <w:lang w:val="en-US"/>
        </w:rPr>
        <w:t xml:space="preserve"> a</w:t>
      </w:r>
      <w:r w:rsidR="005B7981">
        <w:rPr>
          <w:lang w:val="en-US"/>
        </w:rPr>
        <w:t>t</w:t>
      </w:r>
      <w:r w:rsidRPr="00790656">
        <w:rPr>
          <w:lang w:val="en-US"/>
        </w:rPr>
        <w:t xml:space="preserve"> 60</w:t>
      </w:r>
      <w:r w:rsidR="00455E98">
        <w:rPr>
          <w:lang w:val="en-US"/>
        </w:rPr>
        <w:t> </w:t>
      </w:r>
      <w:r w:rsidRPr="00790656">
        <w:rPr>
          <w:lang w:val="en-US"/>
        </w:rPr>
        <w:t xml:space="preserve">% relative humidity while for milk </w:t>
      </w:r>
      <w:proofErr w:type="gramStart"/>
      <w:r w:rsidRPr="00790656">
        <w:rPr>
          <w:lang w:val="en-US"/>
        </w:rPr>
        <w:t>kefir</w:t>
      </w:r>
      <w:proofErr w:type="gramEnd"/>
      <w:r w:rsidRPr="00790656">
        <w:rPr>
          <w:lang w:val="en-US"/>
        </w:rPr>
        <w:t xml:space="preserve"> was 3</w:t>
      </w:r>
      <w:r w:rsidR="007645EE">
        <w:rPr>
          <w:lang w:val="en-US"/>
        </w:rPr>
        <w:t>5.8</w:t>
      </w:r>
      <w:r w:rsidR="00455E98">
        <w:rPr>
          <w:lang w:val="en-MY"/>
        </w:rPr>
        <w:t> </w:t>
      </w:r>
      <w:r w:rsidRPr="00790656">
        <w:rPr>
          <w:lang w:val="en-US"/>
        </w:rPr>
        <w:t xml:space="preserve">°C for 8.8 </w:t>
      </w:r>
      <w:r w:rsidR="00F27BA1">
        <w:rPr>
          <w:lang w:val="en-US"/>
        </w:rPr>
        <w:t>hours</w:t>
      </w:r>
      <w:r w:rsidRPr="00790656">
        <w:rPr>
          <w:lang w:val="en-US"/>
        </w:rPr>
        <w:t xml:space="preserve">. It was found that both </w:t>
      </w:r>
      <w:proofErr w:type="spellStart"/>
      <w:r w:rsidRPr="00790656">
        <w:rPr>
          <w:lang w:val="en-US"/>
        </w:rPr>
        <w:t>optimised</w:t>
      </w:r>
      <w:proofErr w:type="spellEnd"/>
      <w:r w:rsidRPr="00790656">
        <w:rPr>
          <w:lang w:val="en-US"/>
        </w:rPr>
        <w:t xml:space="preserve"> </w:t>
      </w:r>
      <w:r w:rsidRPr="00790656">
        <w:rPr>
          <w:i/>
          <w:iCs/>
          <w:lang w:val="en-US"/>
        </w:rPr>
        <w:t>tempeh</w:t>
      </w:r>
      <w:r w:rsidRPr="00790656">
        <w:rPr>
          <w:lang w:val="en-US"/>
        </w:rPr>
        <w:t xml:space="preserve"> and milk kefir had significantly greater counts of lactic acid bacteria, aerobic plate counts and mold or yeast. Amplicon sequencing results have identified beneficial microbes that are probiotic including high abundance of </w:t>
      </w:r>
      <w:r w:rsidRPr="00790656">
        <w:rPr>
          <w:i/>
          <w:iCs/>
          <w:lang w:val="en-US"/>
        </w:rPr>
        <w:t>Bacillus</w:t>
      </w:r>
      <w:r w:rsidRPr="00790656">
        <w:rPr>
          <w:lang w:val="en-US"/>
        </w:rPr>
        <w:t xml:space="preserve"> and </w:t>
      </w:r>
      <w:proofErr w:type="spellStart"/>
      <w:r w:rsidRPr="00790656">
        <w:rPr>
          <w:i/>
          <w:iCs/>
          <w:lang w:val="en-US"/>
        </w:rPr>
        <w:t>Weisella</w:t>
      </w:r>
      <w:proofErr w:type="spellEnd"/>
      <w:r w:rsidRPr="00790656">
        <w:rPr>
          <w:lang w:val="en-US"/>
        </w:rPr>
        <w:t xml:space="preserve"> in </w:t>
      </w:r>
      <w:proofErr w:type="spellStart"/>
      <w:r w:rsidRPr="00790656">
        <w:rPr>
          <w:lang w:val="en-US"/>
        </w:rPr>
        <w:t>optimised</w:t>
      </w:r>
      <w:proofErr w:type="spellEnd"/>
      <w:r w:rsidRPr="00790656">
        <w:rPr>
          <w:lang w:val="en-US"/>
        </w:rPr>
        <w:t xml:space="preserve"> </w:t>
      </w:r>
      <w:proofErr w:type="gramStart"/>
      <w:r w:rsidRPr="00790656">
        <w:rPr>
          <w:i/>
          <w:iCs/>
          <w:lang w:val="en-US"/>
        </w:rPr>
        <w:t>tempeh</w:t>
      </w:r>
      <w:proofErr w:type="gramEnd"/>
      <w:r w:rsidRPr="00790656">
        <w:rPr>
          <w:lang w:val="en-US"/>
        </w:rPr>
        <w:t xml:space="preserve"> while milk kefir contained mostly </w:t>
      </w:r>
      <w:r w:rsidRPr="00790656">
        <w:rPr>
          <w:i/>
          <w:iCs/>
          <w:lang w:val="en-US"/>
        </w:rPr>
        <w:t>Lactobacillus</w:t>
      </w:r>
      <w:r w:rsidRPr="00790656">
        <w:rPr>
          <w:lang w:val="en-US"/>
        </w:rPr>
        <w:t xml:space="preserve"> and </w:t>
      </w:r>
      <w:r w:rsidRPr="00790656">
        <w:rPr>
          <w:i/>
          <w:iCs/>
          <w:lang w:val="en-US"/>
        </w:rPr>
        <w:t>Streptococcus</w:t>
      </w:r>
      <w:r w:rsidRPr="00790656">
        <w:rPr>
          <w:lang w:val="en-US"/>
        </w:rPr>
        <w:t xml:space="preserve">.  </w:t>
      </w:r>
    </w:p>
    <w:p w14:paraId="476B2F2E" w14:textId="77777777" w:rsidR="00600535" w:rsidRPr="00B57B36" w:rsidRDefault="00600535" w:rsidP="00600535">
      <w:pPr>
        <w:pStyle w:val="CETHeading1"/>
        <w:rPr>
          <w:lang w:val="en-GB"/>
        </w:rPr>
      </w:pPr>
      <w:r w:rsidRPr="00B57B36">
        <w:rPr>
          <w:lang w:val="en-GB"/>
        </w:rPr>
        <w:t>Introduction</w:t>
      </w:r>
    </w:p>
    <w:p w14:paraId="29116E1A" w14:textId="570B0762" w:rsidR="00662D03" w:rsidRDefault="00662D03" w:rsidP="00600535">
      <w:pPr>
        <w:pStyle w:val="CETBodytext"/>
        <w:rPr>
          <w:lang w:val="en-GB"/>
        </w:rPr>
      </w:pPr>
      <w:r w:rsidRPr="00662D03">
        <w:rPr>
          <w:lang w:val="en-GB"/>
        </w:rPr>
        <w:t xml:space="preserve">The increasing global demand for sustainability has underlined the necessity of promoting resilient food production which contributes to minimal waste and long-term food security to ensure that future generations have access to sufficient, safe and nutritious food. Fermentation is one of the most traditional practices that has been adopted to prevent losses in highly perishable food products. Common fermented foods </w:t>
      </w:r>
      <w:r w:rsidR="009A67D8">
        <w:rPr>
          <w:lang w:val="en-GB"/>
        </w:rPr>
        <w:t>like</w:t>
      </w:r>
      <w:r w:rsidRPr="00662D03">
        <w:rPr>
          <w:lang w:val="en-GB"/>
        </w:rPr>
        <w:t xml:space="preserve"> kimchi and sauerkraut are examples of preservation of cabbage while yogurt and cheese are good ways to extend shelf life of milk. </w:t>
      </w:r>
      <w:r w:rsidRPr="004D499B">
        <w:rPr>
          <w:i/>
          <w:iCs/>
          <w:lang w:val="en-GB"/>
        </w:rPr>
        <w:t xml:space="preserve">Tempeh </w:t>
      </w:r>
      <w:r w:rsidRPr="00662D03">
        <w:rPr>
          <w:lang w:val="en-GB"/>
        </w:rPr>
        <w:t xml:space="preserve">and kefir are other two </w:t>
      </w:r>
      <w:r w:rsidR="009A67D8">
        <w:rPr>
          <w:lang w:val="en-GB"/>
        </w:rPr>
        <w:t xml:space="preserve">rising </w:t>
      </w:r>
      <w:r w:rsidRPr="00662D03">
        <w:rPr>
          <w:lang w:val="en-GB"/>
        </w:rPr>
        <w:t>fermented food</w:t>
      </w:r>
      <w:r w:rsidR="00C6051F">
        <w:rPr>
          <w:lang w:val="en-GB"/>
        </w:rPr>
        <w:t xml:space="preserve"> because</w:t>
      </w:r>
      <w:r w:rsidR="007C7452">
        <w:rPr>
          <w:lang w:val="en-GB"/>
        </w:rPr>
        <w:t xml:space="preserve"> of their reputative health benefits </w:t>
      </w:r>
      <w:r w:rsidR="0034701B">
        <w:rPr>
          <w:lang w:val="en-GB"/>
        </w:rPr>
        <w:t xml:space="preserve">which promote </w:t>
      </w:r>
      <w:r w:rsidR="007C7452">
        <w:rPr>
          <w:lang w:val="en-GB"/>
        </w:rPr>
        <w:t xml:space="preserve">gut health </w:t>
      </w:r>
      <w:r w:rsidR="0034701B">
        <w:rPr>
          <w:lang w:val="en-GB"/>
        </w:rPr>
        <w:t xml:space="preserve">thus </w:t>
      </w:r>
      <w:r w:rsidR="00176B87">
        <w:rPr>
          <w:lang w:val="en-GB"/>
        </w:rPr>
        <w:t>evaluating both products offer comparative insight</w:t>
      </w:r>
      <w:r w:rsidR="0034701B">
        <w:rPr>
          <w:lang w:val="en-GB"/>
        </w:rPr>
        <w:t xml:space="preserve">s of their </w:t>
      </w:r>
      <w:r w:rsidR="00176B87">
        <w:rPr>
          <w:lang w:val="en-GB"/>
        </w:rPr>
        <w:t>fermentation process</w:t>
      </w:r>
      <w:r w:rsidR="0034701B">
        <w:rPr>
          <w:lang w:val="en-GB"/>
        </w:rPr>
        <w:t xml:space="preserve">, impact of </w:t>
      </w:r>
      <w:r w:rsidR="00176B87">
        <w:rPr>
          <w:lang w:val="en-GB"/>
        </w:rPr>
        <w:t xml:space="preserve">optimisation </w:t>
      </w:r>
      <w:r w:rsidR="0034701B">
        <w:rPr>
          <w:lang w:val="en-GB"/>
        </w:rPr>
        <w:t xml:space="preserve">on </w:t>
      </w:r>
      <w:r w:rsidR="00176B87">
        <w:rPr>
          <w:lang w:val="en-GB"/>
        </w:rPr>
        <w:t xml:space="preserve">their </w:t>
      </w:r>
      <w:proofErr w:type="spellStart"/>
      <w:r w:rsidR="00176B87">
        <w:rPr>
          <w:lang w:val="en-GB"/>
        </w:rPr>
        <w:t>physico</w:t>
      </w:r>
      <w:proofErr w:type="spellEnd"/>
      <w:r w:rsidR="00176B87">
        <w:rPr>
          <w:lang w:val="en-GB"/>
        </w:rPr>
        <w:t>-chemical and microbiological properties</w:t>
      </w:r>
      <w:r w:rsidRPr="00662D03">
        <w:rPr>
          <w:lang w:val="en-GB"/>
        </w:rPr>
        <w:t>.</w:t>
      </w:r>
    </w:p>
    <w:p w14:paraId="1B852D20" w14:textId="77777777" w:rsidR="00662D03" w:rsidRDefault="00662D03" w:rsidP="00600535">
      <w:pPr>
        <w:pStyle w:val="CETBodytext"/>
        <w:rPr>
          <w:lang w:val="en-GB"/>
        </w:rPr>
      </w:pPr>
    </w:p>
    <w:p w14:paraId="1FCCD8B3" w14:textId="3134B49F" w:rsidR="007636D0" w:rsidRPr="00662D03" w:rsidRDefault="00662D03" w:rsidP="007636D0">
      <w:pPr>
        <w:pStyle w:val="CETBodytext"/>
      </w:pPr>
      <w:r w:rsidRPr="00662D03">
        <w:rPr>
          <w:i/>
          <w:iCs/>
        </w:rPr>
        <w:t xml:space="preserve">Tempeh </w:t>
      </w:r>
      <w:r w:rsidRPr="00662D03">
        <w:t>is a mold-fermented soybean product originated from Indonesia and is consumed</w:t>
      </w:r>
      <w:r w:rsidR="009A67D8">
        <w:t xml:space="preserve"> widely amongst </w:t>
      </w:r>
      <w:r w:rsidRPr="00662D03">
        <w:t>Malaysia</w:t>
      </w:r>
      <w:r w:rsidR="009A67D8">
        <w:t>ns</w:t>
      </w:r>
      <w:r w:rsidRPr="00662D03">
        <w:t xml:space="preserve">. </w:t>
      </w:r>
      <w:r w:rsidRPr="00662D03">
        <w:rPr>
          <w:i/>
          <w:iCs/>
        </w:rPr>
        <w:t>Tempeh</w:t>
      </w:r>
      <w:r w:rsidRPr="00662D03">
        <w:t xml:space="preserve"> serves as an alternative nutrient-dense source of protein, dietary fiber, vitamins and minerals at an affordable price hence has become a staple food for the locals </w:t>
      </w:r>
      <w:sdt>
        <w:sdtPr>
          <w:tag w:val="MENDELEY_CITATION_v3_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"/>
          <w:id w:val="-464275571"/>
          <w:placeholder>
            <w:docPart w:val="BE92E84A244B49718D1A377591EA1135"/>
          </w:placeholder>
        </w:sdtPr>
        <w:sdtEndPr>
          <w:rPr>
            <w:lang w:val="en-MY"/>
          </w:rPr>
        </w:sdtEndPr>
        <w:sdtContent>
          <w:r w:rsidRPr="00662D03">
            <w:rPr>
              <w:lang w:val="en-MY"/>
            </w:rPr>
            <w:t>(Astuti</w:t>
          </w:r>
          <w:r w:rsidR="00C7655E">
            <w:rPr>
              <w:lang w:val="en-MY"/>
            </w:rPr>
            <w:t xml:space="preserve"> et al.</w:t>
          </w:r>
          <w:r w:rsidR="00F27F47">
            <w:rPr>
              <w:lang w:val="en-MY"/>
            </w:rPr>
            <w:t>,</w:t>
          </w:r>
          <w:r w:rsidR="00C7655E">
            <w:rPr>
              <w:lang w:val="en-MY"/>
            </w:rPr>
            <w:t xml:space="preserve"> </w:t>
          </w:r>
          <w:r w:rsidRPr="00662D03">
            <w:rPr>
              <w:lang w:val="en-MY"/>
            </w:rPr>
            <w:t>2000)</w:t>
          </w:r>
        </w:sdtContent>
      </w:sdt>
      <w:r w:rsidRPr="00662D03">
        <w:t xml:space="preserve">. </w:t>
      </w:r>
      <w:r w:rsidRPr="00662D03">
        <w:rPr>
          <w:lang w:val="en-MY"/>
        </w:rPr>
        <w:t xml:space="preserve">In the fermentation process, soybeans are reduced in carbohydrate content, protease inhibitors, phenols and phytic acid concentrations. Fermented soybeans develop texture, flavours, antioxidant components and isoflavones which make </w:t>
      </w:r>
      <w:r w:rsidRPr="00662D03">
        <w:rPr>
          <w:i/>
          <w:lang w:val="en-MY"/>
        </w:rPr>
        <w:t>tempeh</w:t>
      </w:r>
      <w:r w:rsidRPr="00662D03">
        <w:rPr>
          <w:lang w:val="en-MY"/>
        </w:rPr>
        <w:t xml:space="preserve"> an excellent source of nutrition</w:t>
      </w:r>
      <w:r w:rsidR="007250B3">
        <w:rPr>
          <w:lang w:val="en-MY"/>
        </w:rPr>
        <w:t xml:space="preserve"> </w:t>
      </w:r>
      <w:r w:rsidR="00F03DC7">
        <w:rPr>
          <w:lang w:val="en-MY"/>
        </w:rPr>
        <w:fldChar w:fldCharType="begin" w:fldLock="1"/>
      </w:r>
      <w:r w:rsidR="00EE7CD0">
        <w:rPr>
          <w:lang w:val="en-MY"/>
        </w:rPr>
        <w:instrText>ADDIN CSL_CITATION {"citationItems":[{"id":"ITEM-1","itemData":{"DOI":"10.1016/B978-0-12-802309-9.00019-4","ISBN":"9780128023099","abstract":"Soybean provides high nutritional value and energy due to its composition of carbohydrates, proteins, fats, vitamins, and minerals in Asian populations. The consumption of soybean products is linked to many health benefits including reduced risk of cardiovascular diseases and cancer, and soy isoflavones are considered one of the major bioactive compounds. Tempeh is a fermented soybean product originally obtained through soybean fermentation with the Rhizopus species. Tempeh is gaining popularity in Asia and the rest of the world because it is an economical, nutritious, healthy, and easy-to-prepare food. This chapter will summarize the evidence that shows tempeh as an attractive fermented food related to the prevention of various chronic diseases.","author":[{"dropping-particle":"","family":"Mani","given":"V.","non-dropping-particle":"","parse-names":false,"suffix":""},{"dropping-particle":"","family":"Ming","given":"L. C.","non-dropping-particle":"","parse-names":false,"suffix":""}],"container-title":"Fermented Foods in Health and Disease Prevention","id":"ITEM-1","issued":{"date-parts":[["2017"]]},"number-of-pages":"453-474","publisher":"Elsevier Inc.","title":"Tempeh and Other Fermented Soybean Products Rich in Isoflavones","type":"book"},"uris":["http://www.mendeley.com/documents/?uuid=9c96dc8f-6518-469a-83ec-94f8372d50fb"]}],"mendeley":{"formattedCitation":"(Mani &amp; Ming 2017)","plainTextFormattedCitation":"(Mani &amp; Ming 2017)","previouslyFormattedCitation":"(Mani &amp; Ming 2017)"},"properties":{"noteIndex":0},"schema":"https://github.com/citation-style-language/schema/raw/master/csl-citation.json"}</w:instrText>
      </w:r>
      <w:r w:rsidR="00F03DC7">
        <w:rPr>
          <w:lang w:val="en-MY"/>
        </w:rPr>
        <w:fldChar w:fldCharType="separate"/>
      </w:r>
      <w:bookmarkStart w:id="0" w:name="_Hlk199192368"/>
      <w:r w:rsidR="00F03DC7" w:rsidRPr="00F03DC7">
        <w:rPr>
          <w:noProof/>
          <w:lang w:val="en-MY"/>
        </w:rPr>
        <w:t xml:space="preserve">(Mani </w:t>
      </w:r>
      <w:r w:rsidR="008517D2">
        <w:rPr>
          <w:noProof/>
          <w:lang w:val="en-MY"/>
        </w:rPr>
        <w:t>and</w:t>
      </w:r>
      <w:r w:rsidR="00F03DC7" w:rsidRPr="00F03DC7">
        <w:rPr>
          <w:noProof/>
          <w:lang w:val="en-MY"/>
        </w:rPr>
        <w:t xml:space="preserve"> Ming 201</w:t>
      </w:r>
      <w:bookmarkEnd w:id="0"/>
      <w:r w:rsidR="00E87555">
        <w:rPr>
          <w:noProof/>
          <w:lang w:val="en-MY"/>
        </w:rPr>
        <w:t>7</w:t>
      </w:r>
      <w:r w:rsidR="00F03DC7" w:rsidRPr="00F03DC7">
        <w:rPr>
          <w:noProof/>
          <w:lang w:val="en-MY"/>
        </w:rPr>
        <w:t>)</w:t>
      </w:r>
      <w:r w:rsidR="00F03DC7">
        <w:rPr>
          <w:lang w:val="en-MY"/>
        </w:rPr>
        <w:fldChar w:fldCharType="end"/>
      </w:r>
      <w:r w:rsidR="005E4F2B">
        <w:rPr>
          <w:lang w:val="en-MY"/>
        </w:rPr>
        <w:t xml:space="preserve">. There </w:t>
      </w:r>
      <w:proofErr w:type="gramStart"/>
      <w:r w:rsidR="005E4F2B">
        <w:rPr>
          <w:lang w:val="en-MY"/>
        </w:rPr>
        <w:t>is</w:t>
      </w:r>
      <w:proofErr w:type="gramEnd"/>
      <w:r w:rsidR="005E4F2B">
        <w:rPr>
          <w:lang w:val="en-MY"/>
        </w:rPr>
        <w:t xml:space="preserve"> </w:t>
      </w:r>
      <w:r w:rsidRPr="00662D03">
        <w:t>also significant biochemical changes through the action of microorganisms or enzymes</w:t>
      </w:r>
      <w:r w:rsidR="00D1142F">
        <w:t xml:space="preserve"> </w:t>
      </w:r>
      <w:sdt>
        <w:sdtPr>
          <w:rPr>
            <w:lang w:val="en-MY"/>
          </w:rPr>
          <w:tag w:val="MENDELEY_CITATION_v3_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"/>
          <w:id w:val="1370332801"/>
          <w:placeholder>
            <w:docPart w:val="D101CECD56634895B888765FB17924E5"/>
          </w:placeholder>
        </w:sdtPr>
        <w:sdtContent>
          <w:r w:rsidR="00D1142F" w:rsidRPr="00662D03">
            <w:rPr>
              <w:lang w:val="en-MY"/>
            </w:rPr>
            <w:t>(</w:t>
          </w:r>
        </w:sdtContent>
      </w:sdt>
      <w:sdt>
        <w:sdtPr>
          <w:rPr>
            <w:lang w:val="en-MY"/>
          </w:rPr>
          <w:tag w:val="MENDELEY_CITATION_v3_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"/>
          <w:id w:val="-625702214"/>
          <w:placeholder>
            <w:docPart w:val="D101CECD56634895B888765FB17924E5"/>
          </w:placeholder>
        </w:sdtPr>
        <w:sdtContent>
          <w:r w:rsidR="00D1142F" w:rsidRPr="00111E01">
            <w:rPr>
              <w:lang w:val="en-MY"/>
            </w:rPr>
            <w:t>Teoh et al. 2024</w:t>
          </w:r>
          <w:r w:rsidR="00D1142F" w:rsidRPr="00662D03">
            <w:rPr>
              <w:lang w:val="en-MY"/>
            </w:rPr>
            <w:t>)</w:t>
          </w:r>
        </w:sdtContent>
      </w:sdt>
      <w:r w:rsidR="00D1142F" w:rsidRPr="00662D03">
        <w:rPr>
          <w:lang w:val="en-MY"/>
        </w:rPr>
        <w:t>.</w:t>
      </w:r>
      <w:r w:rsidR="001917A7" w:rsidRPr="001917A7">
        <w:t xml:space="preserve">The predominantly small-scale or household production of </w:t>
      </w:r>
      <w:r w:rsidR="001917A7" w:rsidRPr="005E4F2B">
        <w:rPr>
          <w:i/>
          <w:iCs/>
        </w:rPr>
        <w:t>tempeh</w:t>
      </w:r>
      <w:r w:rsidR="001917A7" w:rsidRPr="001917A7">
        <w:t xml:space="preserve"> has driven research to help transition from traditional methods to more </w:t>
      </w:r>
      <w:proofErr w:type="spellStart"/>
      <w:r w:rsidR="001917A7" w:rsidRPr="001917A7">
        <w:t>standardised</w:t>
      </w:r>
      <w:proofErr w:type="spellEnd"/>
      <w:r w:rsidR="001917A7" w:rsidRPr="001917A7">
        <w:t xml:space="preserve"> processing leading to improved product uniformity (Rizal et al., 2022). </w:t>
      </w:r>
    </w:p>
    <w:p w14:paraId="6D18D460" w14:textId="77777777" w:rsidR="00662D03" w:rsidRDefault="00662D03" w:rsidP="00662D03">
      <w:pPr>
        <w:pStyle w:val="CETBodytext"/>
        <w:rPr>
          <w:lang w:val="en-MY"/>
        </w:rPr>
      </w:pPr>
    </w:p>
    <w:p w14:paraId="7C3E4579" w14:textId="43F6255E" w:rsidR="00662D03" w:rsidRPr="00662D03" w:rsidRDefault="00662D03" w:rsidP="00662D03">
      <w:pPr>
        <w:pStyle w:val="CETBodytext"/>
        <w:rPr>
          <w:lang w:val="en-MY"/>
        </w:rPr>
      </w:pPr>
      <w:r w:rsidRPr="00662D03">
        <w:rPr>
          <w:lang w:val="en-MY"/>
        </w:rPr>
        <w:t xml:space="preserve">Milk kefir is a fermented beverage from milk commonly sourced from cow, goat or ewe with inoculated milk kefir grains consisting of microbial communities mainly lactic acid bacteria, yeast and acetic acid bacteria </w:t>
      </w:r>
      <w:sdt>
        <w:sdtPr>
          <w:rPr>
            <w:lang w:val="en-MY"/>
          </w:rPr>
          <w:tag w:val="MENDELEY_CITATION_v3_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"/>
          <w:id w:val="-1875070636"/>
          <w:placeholder>
            <w:docPart w:val="66FC55CCBBFD4E95B2D3B07ADFAC19E9"/>
          </w:placeholder>
        </w:sdtPr>
        <w:sdtContent>
          <w:r w:rsidRPr="00662D03">
            <w:rPr>
              <w:lang w:val="en-MY"/>
            </w:rPr>
            <w:t>(Leite et al., 2013)</w:t>
          </w:r>
        </w:sdtContent>
      </w:sdt>
      <w:r w:rsidRPr="00662D03">
        <w:rPr>
          <w:lang w:val="en-MY"/>
        </w:rPr>
        <w:t xml:space="preserve">. </w:t>
      </w:r>
      <w:bookmarkStart w:id="1" w:name="_Hlk200035230"/>
      <w:r w:rsidRPr="00662D03">
        <w:rPr>
          <w:lang w:val="en-MY"/>
        </w:rPr>
        <w:t xml:space="preserve">Fermenting milk is highly advantageous because it does not only preserve the milk but also imparts health benefits in the form of probiotics </w:t>
      </w:r>
      <w:sdt>
        <w:sdtPr>
          <w:rPr>
            <w:lang w:val="en-MY"/>
          </w:rPr>
          <w:tag w:val="MENDELEY_CITATION_v3_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"/>
          <w:id w:val="-2128916363"/>
          <w:placeholder>
            <w:docPart w:val="4EA4029805AF46069F8C317FEECC3125"/>
          </w:placeholder>
        </w:sdtPr>
        <w:sdtContent>
          <w:r w:rsidRPr="00662D03">
            <w:rPr>
              <w:lang w:val="en-MY"/>
            </w:rPr>
            <w:t>(</w:t>
          </w:r>
          <w:proofErr w:type="spellStart"/>
          <w:r w:rsidRPr="00662D03">
            <w:rPr>
              <w:lang w:val="en-MY"/>
            </w:rPr>
            <w:t>Bellikci-Koyu</w:t>
          </w:r>
          <w:proofErr w:type="spellEnd"/>
          <w:r w:rsidRPr="00662D03">
            <w:rPr>
              <w:lang w:val="en-MY"/>
            </w:rPr>
            <w:t xml:space="preserve"> et al., 2019)</w:t>
          </w:r>
        </w:sdtContent>
      </w:sdt>
      <w:r w:rsidR="00011175">
        <w:rPr>
          <w:lang w:val="en-MY"/>
        </w:rPr>
        <w:t xml:space="preserve"> </w:t>
      </w:r>
      <w:r w:rsidRPr="00662D03">
        <w:rPr>
          <w:lang w:val="en-MY"/>
        </w:rPr>
        <w:t>and anti-inflammatory</w:t>
      </w:r>
      <w:r w:rsidR="005E4F2B">
        <w:rPr>
          <w:lang w:val="en-MY"/>
        </w:rPr>
        <w:t xml:space="preserve"> effects</w:t>
      </w:r>
      <w:r w:rsidRPr="00662D03">
        <w:rPr>
          <w:lang w:val="en-MY"/>
        </w:rPr>
        <w:t xml:space="preserve"> </w:t>
      </w:r>
      <w:sdt>
        <w:sdtPr>
          <w:rPr>
            <w:lang w:val="en-MY"/>
          </w:rPr>
          <w:tag w:val="MENDELEY_CITATION_v3_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"/>
          <w:id w:val="539712758"/>
          <w:placeholder>
            <w:docPart w:val="4EA4029805AF46069F8C317FEECC3125"/>
          </w:placeholder>
        </w:sdtPr>
        <w:sdtContent>
          <w:r w:rsidRPr="00662D03">
            <w:rPr>
              <w:lang w:val="en-MY"/>
            </w:rPr>
            <w:t>(Rodrigues et al., 2016)</w:t>
          </w:r>
        </w:sdtContent>
      </w:sdt>
      <w:r w:rsidRPr="00662D03">
        <w:rPr>
          <w:lang w:val="en-MY"/>
        </w:rPr>
        <w:t xml:space="preserve">. </w:t>
      </w:r>
      <w:bookmarkEnd w:id="1"/>
      <w:r w:rsidRPr="00662D03">
        <w:rPr>
          <w:lang w:val="en-MY"/>
        </w:rPr>
        <w:t>The challenges in up-scaling production and qu</w:t>
      </w:r>
      <w:r w:rsidR="002A0FA5">
        <w:rPr>
          <w:lang w:val="en-MY"/>
        </w:rPr>
        <w:t>a</w:t>
      </w:r>
      <w:r w:rsidRPr="00662D03">
        <w:rPr>
          <w:lang w:val="en-MY"/>
        </w:rPr>
        <w:t xml:space="preserve">lity control of milk kefir often arise from the complexity </w:t>
      </w:r>
      <w:r w:rsidRPr="00662D03">
        <w:rPr>
          <w:lang w:val="en-MY"/>
        </w:rPr>
        <w:lastRenderedPageBreak/>
        <w:t xml:space="preserve">of fermentation performance, which is strongly influenced by the interactions of various factors such as time, temperature </w:t>
      </w:r>
      <w:sdt>
        <w:sdtPr>
          <w:rPr>
            <w:lang w:val="en-MY"/>
          </w:rPr>
          <w:tag w:val="MENDELEY_CITATION_v3_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"/>
          <w:id w:val="1951359938"/>
          <w:placeholder>
            <w:docPart w:val="4743B2FE71094BBE8EF00C73CBA32E1A"/>
          </w:placeholder>
        </w:sdtPr>
        <w:sdtContent>
          <w:r w:rsidRPr="00662D03">
            <w:rPr>
              <w:lang w:val="en-MY"/>
            </w:rPr>
            <w:t>(</w:t>
          </w:r>
          <w:proofErr w:type="spellStart"/>
          <w:r w:rsidRPr="00662D03">
            <w:rPr>
              <w:lang w:val="en-MY"/>
            </w:rPr>
            <w:t>Hecer</w:t>
          </w:r>
          <w:proofErr w:type="spellEnd"/>
          <w:r w:rsidRPr="00662D03">
            <w:rPr>
              <w:lang w:val="en-MY"/>
            </w:rPr>
            <w:t xml:space="preserve"> et al., 2019)</w:t>
          </w:r>
        </w:sdtContent>
      </w:sdt>
      <w:r w:rsidR="005E4F2B">
        <w:rPr>
          <w:lang w:val="en-MY"/>
        </w:rPr>
        <w:t xml:space="preserve"> and</w:t>
      </w:r>
      <w:r w:rsidRPr="00662D03">
        <w:rPr>
          <w:lang w:val="en-MY"/>
        </w:rPr>
        <w:t xml:space="preserve"> origin of kefir grain</w:t>
      </w:r>
      <w:r w:rsidR="005E4F2B">
        <w:rPr>
          <w:lang w:val="en-MY"/>
        </w:rPr>
        <w:t>s</w:t>
      </w:r>
      <w:r w:rsidRPr="00662D03">
        <w:rPr>
          <w:lang w:val="en-MY"/>
        </w:rPr>
        <w:t xml:space="preserve"> </w:t>
      </w:r>
      <w:sdt>
        <w:sdtPr>
          <w:rPr>
            <w:lang w:val="en-MY"/>
          </w:rPr>
          <w:tag w:val="MENDELEY_CITATION_v3_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"/>
          <w:id w:val="1156193807"/>
          <w:placeholder>
            <w:docPart w:val="4743B2FE71094BBE8EF00C73CBA32E1A"/>
          </w:placeholder>
        </w:sdtPr>
        <w:sdtContent>
          <w:r w:rsidRPr="00662D03">
            <w:rPr>
              <w:lang w:val="en-MY"/>
            </w:rPr>
            <w:t>(de Sainz</w:t>
          </w:r>
          <w:r w:rsidR="00B02414">
            <w:rPr>
              <w:lang w:val="en-MY"/>
            </w:rPr>
            <w:t xml:space="preserve"> et al.</w:t>
          </w:r>
          <w:r w:rsidRPr="00662D03">
            <w:rPr>
              <w:lang w:val="en-MY"/>
            </w:rPr>
            <w:t>, 2020)</w:t>
          </w:r>
        </w:sdtContent>
      </w:sdt>
      <w:r w:rsidRPr="00662D03">
        <w:rPr>
          <w:lang w:val="en-MY"/>
        </w:rPr>
        <w:t>.</w:t>
      </w:r>
    </w:p>
    <w:p w14:paraId="2CB76799" w14:textId="77777777" w:rsidR="00662D03" w:rsidRDefault="00662D03" w:rsidP="00662D03">
      <w:pPr>
        <w:pStyle w:val="CETBodytext"/>
        <w:rPr>
          <w:lang w:val="en-MY"/>
        </w:rPr>
      </w:pPr>
    </w:p>
    <w:p w14:paraId="7BFC2B4A" w14:textId="1577CCB0" w:rsidR="00662D03" w:rsidRPr="00662D03" w:rsidRDefault="00662D03" w:rsidP="00662D03">
      <w:pPr>
        <w:pStyle w:val="CETBodytext"/>
        <w:rPr>
          <w:lang w:val="en-GB"/>
        </w:rPr>
      </w:pPr>
      <w:r w:rsidRPr="00662D03">
        <w:rPr>
          <w:lang w:val="en-MY"/>
        </w:rPr>
        <w:t xml:space="preserve">This research aimed to model and </w:t>
      </w:r>
      <w:proofErr w:type="gramStart"/>
      <w:r w:rsidRPr="00662D03">
        <w:rPr>
          <w:lang w:val="en-MY"/>
        </w:rPr>
        <w:t>optimise</w:t>
      </w:r>
      <w:proofErr w:type="gramEnd"/>
      <w:r w:rsidRPr="00662D03">
        <w:rPr>
          <w:lang w:val="en-MY"/>
        </w:rPr>
        <w:t xml:space="preserve"> fermentation conditions using </w:t>
      </w:r>
      <w:r w:rsidR="005E4F2B">
        <w:rPr>
          <w:lang w:val="en-MY"/>
        </w:rPr>
        <w:t>response surface methodology (</w:t>
      </w:r>
      <w:r w:rsidRPr="00662D03">
        <w:rPr>
          <w:lang w:val="en-MY"/>
        </w:rPr>
        <w:t>RSM</w:t>
      </w:r>
      <w:r w:rsidR="005E4F2B">
        <w:rPr>
          <w:lang w:val="en-MY"/>
        </w:rPr>
        <w:t>)</w:t>
      </w:r>
      <w:r w:rsidRPr="00662D03">
        <w:rPr>
          <w:lang w:val="en-MY"/>
        </w:rPr>
        <w:t xml:space="preserve">, a statistical and mathematical tool that is used to model and optimise processes </w:t>
      </w:r>
      <w:r w:rsidR="005E4F2B">
        <w:rPr>
          <w:lang w:val="en-MY"/>
        </w:rPr>
        <w:t xml:space="preserve">which </w:t>
      </w:r>
      <w:r w:rsidRPr="00662D03">
        <w:t>evaluat</w:t>
      </w:r>
      <w:r w:rsidR="005E4F2B">
        <w:t xml:space="preserve">es </w:t>
      </w:r>
      <w:r w:rsidRPr="00662D03">
        <w:t>the relationships between multiple input variables and their impact on response variable</w:t>
      </w:r>
      <w:r w:rsidR="005E4F2B">
        <w:t>s</w:t>
      </w:r>
      <w:r w:rsidRPr="00662D03">
        <w:t xml:space="preserve"> to achieve the best </w:t>
      </w:r>
      <w:r w:rsidRPr="00662D03">
        <w:rPr>
          <w:lang w:val="en-MY"/>
        </w:rPr>
        <w:t xml:space="preserve">outcomes. </w:t>
      </w:r>
      <w:bookmarkStart w:id="2" w:name="_Hlk200035071"/>
      <w:r w:rsidRPr="00662D03">
        <w:rPr>
          <w:lang w:val="en-MY"/>
        </w:rPr>
        <w:t xml:space="preserve">The </w:t>
      </w:r>
      <w:r w:rsidR="005E4F2B" w:rsidRPr="005E4F2B">
        <w:rPr>
          <w:lang w:val="en-GB"/>
        </w:rPr>
        <w:t>Box Beh</w:t>
      </w:r>
      <w:r w:rsidR="007250B3">
        <w:rPr>
          <w:lang w:val="en-GB"/>
        </w:rPr>
        <w:t>n</w:t>
      </w:r>
      <w:r w:rsidR="005E4F2B" w:rsidRPr="005E4F2B">
        <w:rPr>
          <w:lang w:val="en-GB"/>
        </w:rPr>
        <w:t xml:space="preserve">ken design (BBD) </w:t>
      </w:r>
      <w:r w:rsidRPr="00662D03">
        <w:rPr>
          <w:lang w:val="en-MY"/>
        </w:rPr>
        <w:t xml:space="preserve">was chosen for </w:t>
      </w:r>
      <w:r w:rsidRPr="00662D03">
        <w:rPr>
          <w:i/>
          <w:iCs/>
          <w:lang w:val="en-MY"/>
        </w:rPr>
        <w:t>tempeh</w:t>
      </w:r>
      <w:r w:rsidRPr="00662D03">
        <w:rPr>
          <w:lang w:val="en-MY"/>
        </w:rPr>
        <w:t xml:space="preserve"> optimisation involving three processing parameters of fermentation time, temperature and humidity as it more suitable and employs a more economical design that requires fewer experimental runs compared to </w:t>
      </w:r>
      <w:r w:rsidR="005E4F2B">
        <w:rPr>
          <w:lang w:val="en-MY"/>
        </w:rPr>
        <w:t xml:space="preserve">the </w:t>
      </w:r>
      <w:r w:rsidR="005E4F2B" w:rsidRPr="005E4F2B">
        <w:rPr>
          <w:lang w:val="en-GB"/>
        </w:rPr>
        <w:t xml:space="preserve">central composite design (CCD) </w:t>
      </w:r>
      <w:sdt>
        <w:sdtPr>
          <w:rPr>
            <w:lang w:val="en-MY"/>
          </w:rPr>
          <w:tag w:val="MENDELEY_CITATION_v3_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"/>
          <w:id w:val="-1986452802"/>
          <w:placeholder>
            <w:docPart w:val="BE92E84A244B49718D1A377591EA1135"/>
          </w:placeholder>
        </w:sdtPr>
        <w:sdtContent>
          <w:r w:rsidRPr="00662D03">
            <w:rPr>
              <w:lang w:val="en-MY"/>
            </w:rPr>
            <w:t xml:space="preserve">(Calfee </w:t>
          </w:r>
          <w:r w:rsidR="008517D2">
            <w:rPr>
              <w:lang w:val="en-MY"/>
            </w:rPr>
            <w:t>and</w:t>
          </w:r>
          <w:r w:rsidRPr="00662D03">
            <w:rPr>
              <w:lang w:val="en-MY"/>
            </w:rPr>
            <w:t xml:space="preserve"> Piontkowski, 2016)</w:t>
          </w:r>
        </w:sdtContent>
      </w:sdt>
      <w:r w:rsidRPr="00662D03">
        <w:rPr>
          <w:lang w:val="en-MY"/>
        </w:rPr>
        <w:t xml:space="preserve">. The </w:t>
      </w:r>
      <w:r w:rsidRPr="00662D03">
        <w:rPr>
          <w:lang w:val="en-GB"/>
        </w:rPr>
        <w:t>CCD was used in the milk kefir optimisation involving two processing parameters of temperature and time.</w:t>
      </w:r>
    </w:p>
    <w:bookmarkEnd w:id="2"/>
    <w:p w14:paraId="5741900F" w14:textId="1E01508E" w:rsidR="00453E24" w:rsidRDefault="00662D03" w:rsidP="00453E24">
      <w:pPr>
        <w:pStyle w:val="CETHeading1"/>
      </w:pPr>
      <w:r>
        <w:t>Materials and Methods</w:t>
      </w:r>
    </w:p>
    <w:p w14:paraId="0AE5956F" w14:textId="6E31C2F6" w:rsidR="00662D03" w:rsidRPr="00C3385C" w:rsidRDefault="00662D03" w:rsidP="006F4CB6">
      <w:pPr>
        <w:pStyle w:val="CETBodytext"/>
        <w:rPr>
          <w:color w:val="FF0000"/>
          <w:lang w:val="en-MY"/>
        </w:rPr>
      </w:pPr>
      <w:r w:rsidRPr="006A1FAD">
        <w:rPr>
          <w:lang w:val="en-MY"/>
        </w:rPr>
        <w:t>Organic soybean</w:t>
      </w:r>
      <w:r w:rsidR="00B866BE">
        <w:rPr>
          <w:lang w:val="en-MY"/>
        </w:rPr>
        <w:t xml:space="preserve"> for </w:t>
      </w:r>
      <w:r w:rsidR="00B866BE" w:rsidRPr="001917A7">
        <w:rPr>
          <w:i/>
          <w:iCs/>
          <w:lang w:val="en-MY"/>
        </w:rPr>
        <w:t>tempeh</w:t>
      </w:r>
      <w:r w:rsidR="00B866BE">
        <w:rPr>
          <w:lang w:val="en-MY"/>
        </w:rPr>
        <w:t xml:space="preserve"> making was purchased </w:t>
      </w:r>
      <w:r w:rsidR="005E4F2B">
        <w:rPr>
          <w:lang w:val="en-MY"/>
        </w:rPr>
        <w:t>locally</w:t>
      </w:r>
      <w:r w:rsidRPr="006A1FAD">
        <w:rPr>
          <w:lang w:val="en-MY"/>
        </w:rPr>
        <w:t xml:space="preserve"> (Radiant Whole Food, Selangor, Malaysia)</w:t>
      </w:r>
      <w:r w:rsidR="005E4F2B">
        <w:rPr>
          <w:lang w:val="en-MY"/>
        </w:rPr>
        <w:t xml:space="preserve"> and</w:t>
      </w:r>
      <w:r w:rsidRPr="006A1FAD">
        <w:rPr>
          <w:lang w:val="en-MY"/>
        </w:rPr>
        <w:t xml:space="preserve"> commercial inoculum Ragi</w:t>
      </w:r>
      <w:r w:rsidR="005E4F2B">
        <w:rPr>
          <w:lang w:val="en-MY"/>
        </w:rPr>
        <w:t xml:space="preserve"> </w:t>
      </w:r>
      <w:r w:rsidRPr="001917A7">
        <w:rPr>
          <w:i/>
          <w:iCs/>
          <w:lang w:val="en-MY"/>
        </w:rPr>
        <w:t>Tempe</w:t>
      </w:r>
      <w:r w:rsidR="00B866BE" w:rsidRPr="001917A7">
        <w:rPr>
          <w:i/>
          <w:iCs/>
          <w:lang w:val="en-MY"/>
        </w:rPr>
        <w:t>h</w:t>
      </w:r>
      <w:r w:rsidRPr="006A1FAD">
        <w:rPr>
          <w:lang w:val="en-MY"/>
        </w:rPr>
        <w:t xml:space="preserve"> (</w:t>
      </w:r>
      <w:proofErr w:type="spellStart"/>
      <w:r w:rsidRPr="006A1FAD">
        <w:rPr>
          <w:lang w:val="en-MY"/>
        </w:rPr>
        <w:t>Raprima</w:t>
      </w:r>
      <w:proofErr w:type="spellEnd"/>
      <w:r w:rsidRPr="006A1FAD">
        <w:rPr>
          <w:lang w:val="en-MY"/>
        </w:rPr>
        <w:t xml:space="preserve">, Yogyakarta, Indonesia) </w:t>
      </w:r>
      <w:r w:rsidR="005E4F2B">
        <w:rPr>
          <w:lang w:val="en-MY"/>
        </w:rPr>
        <w:t>from</w:t>
      </w:r>
      <w:r w:rsidRPr="006A1FAD">
        <w:rPr>
          <w:lang w:val="en-MY"/>
        </w:rPr>
        <w:t xml:space="preserve"> </w:t>
      </w:r>
      <w:proofErr w:type="spellStart"/>
      <w:r w:rsidRPr="006A1FAD">
        <w:rPr>
          <w:lang w:val="en-MY"/>
        </w:rPr>
        <w:t>mold</w:t>
      </w:r>
      <w:proofErr w:type="spellEnd"/>
      <w:r w:rsidRPr="006A1FAD">
        <w:rPr>
          <w:lang w:val="en-MY"/>
        </w:rPr>
        <w:t xml:space="preserve"> </w:t>
      </w:r>
      <w:r w:rsidRPr="001917A7">
        <w:rPr>
          <w:i/>
          <w:iCs/>
          <w:lang w:val="en-MY"/>
        </w:rPr>
        <w:t>Rhizopus</w:t>
      </w:r>
      <w:r w:rsidRPr="006A1FAD">
        <w:rPr>
          <w:lang w:val="en-MY"/>
        </w:rPr>
        <w:t xml:space="preserve"> spp. was used as </w:t>
      </w:r>
      <w:r w:rsidRPr="001917A7">
        <w:rPr>
          <w:i/>
          <w:iCs/>
          <w:lang w:val="en-MY"/>
        </w:rPr>
        <w:t>tempeh</w:t>
      </w:r>
      <w:r w:rsidRPr="006A1FAD">
        <w:rPr>
          <w:lang w:val="en-MY"/>
        </w:rPr>
        <w:t xml:space="preserve"> starter. Commercial </w:t>
      </w:r>
      <w:r w:rsidRPr="00D26072">
        <w:rPr>
          <w:i/>
          <w:iCs/>
          <w:lang w:val="en-MY"/>
        </w:rPr>
        <w:t>tempeh</w:t>
      </w:r>
      <w:r w:rsidRPr="006A1FAD">
        <w:rPr>
          <w:lang w:val="en-MY"/>
        </w:rPr>
        <w:t xml:space="preserve"> </w:t>
      </w:r>
      <w:r w:rsidR="007636D0">
        <w:rPr>
          <w:lang w:val="en-MY"/>
        </w:rPr>
        <w:t xml:space="preserve">was from </w:t>
      </w:r>
      <w:r w:rsidRPr="006A1FAD">
        <w:rPr>
          <w:lang w:val="en-MY"/>
        </w:rPr>
        <w:t>UMMI Family Enterprise</w:t>
      </w:r>
      <w:r w:rsidR="007636D0">
        <w:rPr>
          <w:lang w:val="en-MY"/>
        </w:rPr>
        <w:t>, m</w:t>
      </w:r>
      <w:r w:rsidRPr="006A1FAD">
        <w:rPr>
          <w:lang w:val="en-MY"/>
        </w:rPr>
        <w:t xml:space="preserve">ilk kefir was made using cow’s milk (Farm Fresh Milk </w:t>
      </w:r>
      <w:proofErr w:type="spellStart"/>
      <w:r w:rsidRPr="006A1FAD">
        <w:rPr>
          <w:lang w:val="en-MY"/>
        </w:rPr>
        <w:t>Sdn</w:t>
      </w:r>
      <w:proofErr w:type="spellEnd"/>
      <w:r w:rsidRPr="006A1FAD">
        <w:rPr>
          <w:lang w:val="en-MY"/>
        </w:rPr>
        <w:t xml:space="preserve"> </w:t>
      </w:r>
      <w:proofErr w:type="spellStart"/>
      <w:r w:rsidRPr="006A1FAD">
        <w:rPr>
          <w:lang w:val="en-MY"/>
        </w:rPr>
        <w:t>Bhd</w:t>
      </w:r>
      <w:proofErr w:type="spellEnd"/>
      <w:r w:rsidRPr="006A1FAD">
        <w:rPr>
          <w:lang w:val="en-MY"/>
        </w:rPr>
        <w:t xml:space="preserve">, Malaysia) and </w:t>
      </w:r>
      <w:r w:rsidR="007636D0">
        <w:rPr>
          <w:lang w:val="en-MY"/>
        </w:rPr>
        <w:t xml:space="preserve">Tibetan </w:t>
      </w:r>
      <w:r w:rsidRPr="006A1FAD">
        <w:rPr>
          <w:lang w:val="en-MY"/>
        </w:rPr>
        <w:t>kefir grains was from Nature’s Recipe, Selangor, Malaysia.</w:t>
      </w:r>
      <w:r w:rsidR="00C3385C">
        <w:rPr>
          <w:lang w:val="en-MY"/>
        </w:rPr>
        <w:t xml:space="preserve"> </w:t>
      </w:r>
      <w:r w:rsidR="00C3385C" w:rsidRPr="00441A04">
        <w:rPr>
          <w:lang w:val="en-MY"/>
        </w:rPr>
        <w:t xml:space="preserve">Commercial kefir was </w:t>
      </w:r>
      <w:r w:rsidR="00441A04" w:rsidRPr="00441A04">
        <w:rPr>
          <w:lang w:val="en-MY"/>
        </w:rPr>
        <w:t xml:space="preserve">obtained from </w:t>
      </w:r>
      <w:proofErr w:type="spellStart"/>
      <w:r w:rsidR="00441A04" w:rsidRPr="00441A04">
        <w:rPr>
          <w:lang w:val="en-MY"/>
        </w:rPr>
        <w:t>Brightcow</w:t>
      </w:r>
      <w:proofErr w:type="spellEnd"/>
      <w:r w:rsidR="00441A04" w:rsidRPr="00441A04">
        <w:rPr>
          <w:lang w:val="en-MY"/>
        </w:rPr>
        <w:t xml:space="preserve"> Malaysia </w:t>
      </w:r>
      <w:proofErr w:type="spellStart"/>
      <w:r w:rsidR="00441A04" w:rsidRPr="00441A04">
        <w:rPr>
          <w:lang w:val="en-MY"/>
        </w:rPr>
        <w:t>Sdn</w:t>
      </w:r>
      <w:proofErr w:type="spellEnd"/>
      <w:r w:rsidR="00441A04" w:rsidRPr="00441A04">
        <w:rPr>
          <w:lang w:val="en-MY"/>
        </w:rPr>
        <w:t>. Bhd.</w:t>
      </w:r>
    </w:p>
    <w:p w14:paraId="18BAFA6F" w14:textId="71E7BE6D" w:rsidR="00453E24" w:rsidRPr="00B57B36" w:rsidRDefault="00662D03" w:rsidP="006F4CB6">
      <w:pPr>
        <w:pStyle w:val="CETheadingx"/>
      </w:pPr>
      <w:r w:rsidRPr="001917A7">
        <w:rPr>
          <w:i/>
          <w:iCs/>
        </w:rPr>
        <w:t>Tempeh</w:t>
      </w:r>
      <w:r>
        <w:t xml:space="preserve"> and milk kefir production</w:t>
      </w:r>
    </w:p>
    <w:p w14:paraId="37275A93" w14:textId="23C0C8EA" w:rsidR="00662D03" w:rsidRDefault="00662D03" w:rsidP="006F4CB6">
      <w:pPr>
        <w:pStyle w:val="CETHeading1"/>
        <w:numPr>
          <w:ilvl w:val="0"/>
          <w:numId w:val="0"/>
        </w:numPr>
        <w:spacing w:before="0" w:after="0"/>
        <w:jc w:val="both"/>
        <w:rPr>
          <w:b w:val="0"/>
          <w:sz w:val="18"/>
          <w:lang w:val="en-GB"/>
        </w:rPr>
      </w:pPr>
      <w:r w:rsidRPr="00A4445E">
        <w:rPr>
          <w:b w:val="0"/>
          <w:sz w:val="18"/>
        </w:rPr>
        <w:t xml:space="preserve">The traditional procedure for making </w:t>
      </w:r>
      <w:r w:rsidRPr="00D26072">
        <w:rPr>
          <w:b w:val="0"/>
          <w:i/>
          <w:iCs/>
          <w:sz w:val="18"/>
        </w:rPr>
        <w:t>tempeh</w:t>
      </w:r>
      <w:r w:rsidRPr="00A4445E">
        <w:rPr>
          <w:b w:val="0"/>
          <w:sz w:val="18"/>
        </w:rPr>
        <w:t xml:space="preserve"> was followed with steps of soaking, draining and rinsing with</w:t>
      </w:r>
      <w:r w:rsidRPr="00662D03">
        <w:rPr>
          <w:b w:val="0"/>
          <w:sz w:val="18"/>
          <w:lang w:val="en-GB"/>
        </w:rPr>
        <w:t xml:space="preserve"> fresh water before manual dehulling. </w:t>
      </w:r>
      <w:r w:rsidR="00B866BE">
        <w:rPr>
          <w:b w:val="0"/>
          <w:sz w:val="18"/>
          <w:lang w:val="en-GB"/>
        </w:rPr>
        <w:t>100</w:t>
      </w:r>
      <w:r w:rsidR="005E4F2B">
        <w:rPr>
          <w:b w:val="0"/>
          <w:sz w:val="18"/>
          <w:lang w:val="en-GB"/>
        </w:rPr>
        <w:t> </w:t>
      </w:r>
      <w:r w:rsidRPr="00662D03">
        <w:rPr>
          <w:b w:val="0"/>
          <w:sz w:val="18"/>
          <w:lang w:val="en-GB"/>
        </w:rPr>
        <w:t xml:space="preserve">g </w:t>
      </w:r>
      <w:r w:rsidR="005E4F2B">
        <w:rPr>
          <w:b w:val="0"/>
          <w:sz w:val="18"/>
          <w:lang w:val="en-GB"/>
        </w:rPr>
        <w:t xml:space="preserve">of </w:t>
      </w:r>
      <w:r w:rsidRPr="00662D03">
        <w:rPr>
          <w:b w:val="0"/>
          <w:sz w:val="18"/>
          <w:lang w:val="en-GB"/>
        </w:rPr>
        <w:t xml:space="preserve">soybeans </w:t>
      </w:r>
      <w:r w:rsidR="007636D0" w:rsidRPr="00662D03">
        <w:rPr>
          <w:b w:val="0"/>
          <w:sz w:val="18"/>
          <w:lang w:val="en-GB"/>
        </w:rPr>
        <w:t>were</w:t>
      </w:r>
      <w:r w:rsidRPr="00662D03">
        <w:rPr>
          <w:b w:val="0"/>
          <w:sz w:val="18"/>
          <w:lang w:val="en-GB"/>
        </w:rPr>
        <w:t xml:space="preserve"> soaked in clean water overnight for 8</w:t>
      </w:r>
      <w:r w:rsidR="005E4F2B">
        <w:rPr>
          <w:b w:val="0"/>
          <w:sz w:val="18"/>
          <w:lang w:val="en-GB"/>
        </w:rPr>
        <w:t> </w:t>
      </w:r>
      <w:r w:rsidR="00F71D7F">
        <w:rPr>
          <w:b w:val="0"/>
          <w:sz w:val="18"/>
          <w:lang w:val="en-GB"/>
        </w:rPr>
        <w:t>h</w:t>
      </w:r>
      <w:r w:rsidR="00163730">
        <w:rPr>
          <w:b w:val="0"/>
          <w:sz w:val="18"/>
          <w:lang w:val="en-GB"/>
        </w:rPr>
        <w:t xml:space="preserve"> </w:t>
      </w:r>
      <w:r w:rsidRPr="00662D03">
        <w:rPr>
          <w:b w:val="0"/>
          <w:sz w:val="18"/>
          <w:lang w:val="en-GB"/>
        </w:rPr>
        <w:t xml:space="preserve">at room temperature, then dehulled manually before boiling for 25 minutes at soybean </w:t>
      </w:r>
      <w:r w:rsidR="005E4F2B">
        <w:rPr>
          <w:b w:val="0"/>
          <w:sz w:val="18"/>
          <w:lang w:val="en-GB"/>
        </w:rPr>
        <w:t xml:space="preserve">to </w:t>
      </w:r>
      <w:r w:rsidRPr="00662D03">
        <w:rPr>
          <w:b w:val="0"/>
          <w:sz w:val="18"/>
          <w:lang w:val="en-GB"/>
        </w:rPr>
        <w:t xml:space="preserve">water ratio </w:t>
      </w:r>
      <w:r w:rsidRPr="006B5B81">
        <w:rPr>
          <w:b w:val="0"/>
          <w:color w:val="000000" w:themeColor="text1"/>
          <w:sz w:val="18"/>
          <w:lang w:val="en-GB"/>
        </w:rPr>
        <w:t xml:space="preserve">of 1:3 </w:t>
      </w:r>
      <w:r w:rsidR="00FD728A" w:rsidRPr="006B5B81">
        <w:rPr>
          <w:b w:val="0"/>
          <w:color w:val="000000" w:themeColor="text1"/>
          <w:sz w:val="18"/>
          <w:lang w:val="en-GB"/>
        </w:rPr>
        <w:t>(</w:t>
      </w:r>
      <w:r w:rsidR="006B5B81">
        <w:rPr>
          <w:b w:val="0"/>
          <w:color w:val="000000" w:themeColor="text1"/>
          <w:sz w:val="18"/>
          <w:lang w:val="en-GB"/>
        </w:rPr>
        <w:t>w</w:t>
      </w:r>
      <w:r w:rsidR="00FD728A" w:rsidRPr="006B5B81">
        <w:rPr>
          <w:b w:val="0"/>
          <w:color w:val="000000" w:themeColor="text1"/>
          <w:sz w:val="18"/>
          <w:lang w:val="en-GB"/>
        </w:rPr>
        <w:t>/</w:t>
      </w:r>
      <w:r w:rsidR="006B5B81">
        <w:rPr>
          <w:b w:val="0"/>
          <w:color w:val="000000" w:themeColor="text1"/>
          <w:sz w:val="18"/>
          <w:lang w:val="en-GB"/>
        </w:rPr>
        <w:t>v</w:t>
      </w:r>
      <w:r w:rsidR="00FD728A" w:rsidRPr="006B5B81">
        <w:rPr>
          <w:b w:val="0"/>
          <w:color w:val="000000" w:themeColor="text1"/>
          <w:sz w:val="18"/>
          <w:lang w:val="en-GB"/>
        </w:rPr>
        <w:t xml:space="preserve">) </w:t>
      </w:r>
      <w:r w:rsidRPr="00662D03">
        <w:rPr>
          <w:b w:val="0"/>
          <w:sz w:val="18"/>
          <w:lang w:val="en-GB"/>
        </w:rPr>
        <w:t>then drained</w:t>
      </w:r>
      <w:r w:rsidR="007250B3">
        <w:rPr>
          <w:b w:val="0"/>
          <w:sz w:val="18"/>
          <w:lang w:val="en-GB"/>
        </w:rPr>
        <w:t xml:space="preserve">. </w:t>
      </w:r>
      <w:bookmarkStart w:id="3" w:name="_Hlk198925262"/>
      <w:r w:rsidR="007250B3">
        <w:rPr>
          <w:b w:val="0"/>
          <w:sz w:val="18"/>
          <w:lang w:val="en-GB"/>
        </w:rPr>
        <w:t xml:space="preserve">The weight of soaked and cooked soybeans increased to about 200 g were then </w:t>
      </w:r>
      <w:r w:rsidRPr="00662D03">
        <w:rPr>
          <w:b w:val="0"/>
          <w:sz w:val="18"/>
          <w:lang w:val="en-GB"/>
        </w:rPr>
        <w:t xml:space="preserve">left on sieves for excess water </w:t>
      </w:r>
      <w:r w:rsidR="005E4F2B">
        <w:rPr>
          <w:b w:val="0"/>
          <w:sz w:val="18"/>
          <w:lang w:val="en-GB"/>
        </w:rPr>
        <w:t xml:space="preserve">removal </w:t>
      </w:r>
      <w:bookmarkEnd w:id="3"/>
      <w:r w:rsidRPr="00662D03">
        <w:rPr>
          <w:b w:val="0"/>
          <w:sz w:val="18"/>
          <w:lang w:val="en-GB"/>
        </w:rPr>
        <w:t xml:space="preserve">and </w:t>
      </w:r>
      <w:r w:rsidR="00B866BE">
        <w:rPr>
          <w:b w:val="0"/>
          <w:sz w:val="18"/>
          <w:lang w:val="en-GB"/>
        </w:rPr>
        <w:t>cool</w:t>
      </w:r>
      <w:r w:rsidR="005E4F2B">
        <w:rPr>
          <w:b w:val="0"/>
          <w:sz w:val="18"/>
          <w:lang w:val="en-GB"/>
        </w:rPr>
        <w:t>ed</w:t>
      </w:r>
      <w:r w:rsidRPr="00662D03">
        <w:rPr>
          <w:b w:val="0"/>
          <w:sz w:val="18"/>
          <w:lang w:val="en-GB"/>
        </w:rPr>
        <w:t xml:space="preserve"> down </w:t>
      </w:r>
      <w:r w:rsidR="005E4F2B">
        <w:rPr>
          <w:b w:val="0"/>
          <w:sz w:val="18"/>
          <w:lang w:val="en-GB"/>
        </w:rPr>
        <w:t xml:space="preserve">to </w:t>
      </w:r>
      <w:r w:rsidR="00B866BE">
        <w:rPr>
          <w:b w:val="0"/>
          <w:sz w:val="18"/>
          <w:lang w:val="en-GB"/>
        </w:rPr>
        <w:t xml:space="preserve">below </w:t>
      </w:r>
      <w:r w:rsidRPr="00662D03">
        <w:rPr>
          <w:b w:val="0"/>
          <w:sz w:val="18"/>
          <w:lang w:val="en-GB"/>
        </w:rPr>
        <w:t>35</w:t>
      </w:r>
      <w:r w:rsidR="00455E98">
        <w:rPr>
          <w:b w:val="0"/>
          <w:sz w:val="18"/>
          <w:lang w:val="en-GB"/>
        </w:rPr>
        <w:t> </w:t>
      </w:r>
      <w:r w:rsidRPr="00662D03">
        <w:rPr>
          <w:b w:val="0"/>
          <w:sz w:val="18"/>
          <w:lang w:val="en-GB"/>
        </w:rPr>
        <w:t xml:space="preserve">°C. </w:t>
      </w:r>
      <w:r w:rsidRPr="006A1FAD">
        <w:rPr>
          <w:b w:val="0"/>
          <w:i/>
          <w:iCs/>
          <w:sz w:val="18"/>
          <w:lang w:val="en-GB"/>
        </w:rPr>
        <w:t>Tempeh</w:t>
      </w:r>
      <w:r w:rsidRPr="00662D03">
        <w:rPr>
          <w:b w:val="0"/>
          <w:sz w:val="18"/>
          <w:lang w:val="en-GB"/>
        </w:rPr>
        <w:t xml:space="preserve"> starter was added at 2 g/kg (Hasbullah </w:t>
      </w:r>
      <w:r w:rsidR="008517D2">
        <w:rPr>
          <w:b w:val="0"/>
          <w:sz w:val="18"/>
          <w:lang w:val="en-GB"/>
        </w:rPr>
        <w:t>and</w:t>
      </w:r>
      <w:r w:rsidRPr="00662D03">
        <w:rPr>
          <w:b w:val="0"/>
          <w:sz w:val="18"/>
          <w:lang w:val="en-GB"/>
        </w:rPr>
        <w:t xml:space="preserve"> Silvy, 2020), </w:t>
      </w:r>
      <w:r w:rsidR="006A1FAD" w:rsidRPr="006A1FAD">
        <w:rPr>
          <w:b w:val="0"/>
          <w:sz w:val="18"/>
          <w:lang w:val="en-MY"/>
        </w:rPr>
        <w:t xml:space="preserve">mixed thoroughly and filled into </w:t>
      </w:r>
      <w:bookmarkStart w:id="4" w:name="_Hlk190430971"/>
      <w:r w:rsidR="00FD728A">
        <w:rPr>
          <w:b w:val="0"/>
          <w:sz w:val="18"/>
          <w:lang w:val="en-MY"/>
        </w:rPr>
        <w:t>two</w:t>
      </w:r>
      <w:r w:rsidR="006A1FAD" w:rsidRPr="006A1FAD">
        <w:rPr>
          <w:b w:val="0"/>
          <w:sz w:val="18"/>
          <w:lang w:val="en-MY"/>
        </w:rPr>
        <w:t xml:space="preserve"> polyethylene bag</w:t>
      </w:r>
      <w:bookmarkEnd w:id="4"/>
      <w:r w:rsidR="006A1FAD" w:rsidRPr="006A1FAD">
        <w:rPr>
          <w:b w:val="0"/>
          <w:sz w:val="18"/>
          <w:lang w:val="en-MY"/>
        </w:rPr>
        <w:t xml:space="preserve">s </w:t>
      </w:r>
      <w:r w:rsidR="00FD728A">
        <w:rPr>
          <w:b w:val="0"/>
          <w:sz w:val="18"/>
          <w:lang w:val="en-MY"/>
        </w:rPr>
        <w:t>at about</w:t>
      </w:r>
      <w:r w:rsidR="006A1FAD" w:rsidRPr="006A1FAD">
        <w:rPr>
          <w:b w:val="0"/>
          <w:sz w:val="18"/>
          <w:lang w:val="en-MY"/>
        </w:rPr>
        <w:t xml:space="preserve"> 100 g each, pressed and flattened slightly to make block size of 6 cm x 9 </w:t>
      </w:r>
      <w:r w:rsidRPr="00662D03">
        <w:rPr>
          <w:b w:val="0"/>
          <w:sz w:val="18"/>
          <w:lang w:val="en-GB"/>
        </w:rPr>
        <w:t xml:space="preserve">cm. The packed blocks of </w:t>
      </w:r>
      <w:r w:rsidRPr="00FD728A">
        <w:rPr>
          <w:b w:val="0"/>
          <w:i/>
          <w:iCs/>
          <w:sz w:val="18"/>
          <w:lang w:val="en-GB"/>
        </w:rPr>
        <w:t>tempeh</w:t>
      </w:r>
      <w:r w:rsidRPr="00662D03">
        <w:rPr>
          <w:b w:val="0"/>
          <w:sz w:val="18"/>
          <w:lang w:val="en-GB"/>
        </w:rPr>
        <w:t xml:space="preserve"> were </w:t>
      </w:r>
      <w:r w:rsidR="00FD728A">
        <w:rPr>
          <w:b w:val="0"/>
          <w:sz w:val="18"/>
          <w:lang w:val="en-GB"/>
        </w:rPr>
        <w:t>placed in</w:t>
      </w:r>
      <w:r w:rsidRPr="00662D03">
        <w:rPr>
          <w:b w:val="0"/>
          <w:sz w:val="18"/>
          <w:lang w:val="en-GB"/>
        </w:rPr>
        <w:t xml:space="preserve"> a</w:t>
      </w:r>
      <w:r w:rsidR="00484105">
        <w:rPr>
          <w:b w:val="0"/>
          <w:sz w:val="18"/>
          <w:lang w:val="en-GB"/>
        </w:rPr>
        <w:t>n incubator</w:t>
      </w:r>
      <w:r w:rsidR="00D84811">
        <w:rPr>
          <w:b w:val="0"/>
          <w:sz w:val="18"/>
          <w:lang w:val="en-GB"/>
        </w:rPr>
        <w:t xml:space="preserve"> </w:t>
      </w:r>
      <w:r w:rsidRPr="00662D03">
        <w:rPr>
          <w:b w:val="0"/>
          <w:sz w:val="18"/>
          <w:lang w:val="en-GB"/>
        </w:rPr>
        <w:t>(</w:t>
      </w:r>
      <w:r w:rsidR="009C4BFE" w:rsidRPr="00662D03">
        <w:rPr>
          <w:b w:val="0"/>
          <w:sz w:val="18"/>
          <w:lang w:val="en-GB"/>
        </w:rPr>
        <w:t>TMJ-9712B</w:t>
      </w:r>
      <w:r w:rsidR="009C4BFE">
        <w:rPr>
          <w:b w:val="0"/>
          <w:sz w:val="18"/>
          <w:lang w:val="en-GB"/>
        </w:rPr>
        <w:t xml:space="preserve">, </w:t>
      </w:r>
      <w:r w:rsidRPr="00662D03">
        <w:rPr>
          <w:b w:val="0"/>
          <w:sz w:val="18"/>
          <w:lang w:val="en-GB"/>
        </w:rPr>
        <w:t xml:space="preserve">T-Machine </w:t>
      </w:r>
      <w:r w:rsidR="009C4BFE" w:rsidRPr="009C4BFE">
        <w:rPr>
          <w:b w:val="0"/>
          <w:sz w:val="18"/>
          <w:lang w:val="en-GB"/>
        </w:rPr>
        <w:t>Technology Co., Lt</w:t>
      </w:r>
      <w:r w:rsidRPr="00662D03">
        <w:rPr>
          <w:b w:val="0"/>
          <w:sz w:val="18"/>
          <w:lang w:val="en-GB"/>
        </w:rPr>
        <w:t>,</w:t>
      </w:r>
      <w:r w:rsidR="009C4BFE">
        <w:rPr>
          <w:b w:val="0"/>
          <w:sz w:val="18"/>
          <w:lang w:val="en-GB"/>
        </w:rPr>
        <w:t xml:space="preserve"> </w:t>
      </w:r>
      <w:r w:rsidRPr="00662D03">
        <w:rPr>
          <w:b w:val="0"/>
          <w:sz w:val="18"/>
          <w:lang w:val="en-GB"/>
        </w:rPr>
        <w:t>Taiwan) following settings generated by the BBD design.</w:t>
      </w:r>
    </w:p>
    <w:p w14:paraId="3C678F03" w14:textId="77777777" w:rsidR="007636D0" w:rsidRPr="007636D0" w:rsidRDefault="007636D0" w:rsidP="007636D0">
      <w:pPr>
        <w:pStyle w:val="CETBodytext"/>
        <w:rPr>
          <w:lang w:val="en-GB"/>
        </w:rPr>
      </w:pPr>
    </w:p>
    <w:p w14:paraId="49AED2A2" w14:textId="1675B13F" w:rsidR="00A4445E" w:rsidRPr="006A1FAD" w:rsidRDefault="00662D03" w:rsidP="006A1FAD">
      <w:pPr>
        <w:pStyle w:val="CETListbullets"/>
        <w:ind w:left="0" w:firstLine="0"/>
      </w:pPr>
      <w:r w:rsidRPr="00662D03">
        <w:t>Milk kefir production followed the method</w:t>
      </w:r>
      <w:r w:rsidR="00FD728A">
        <w:t>s</w:t>
      </w:r>
      <w:r w:rsidRPr="00662D03">
        <w:t xml:space="preserve"> of </w:t>
      </w:r>
      <w:proofErr w:type="spellStart"/>
      <w:r w:rsidRPr="00662D03">
        <w:t>Hecer</w:t>
      </w:r>
      <w:proofErr w:type="spellEnd"/>
      <w:r w:rsidRPr="00662D03">
        <w:t xml:space="preserve"> et al. (2019) with modification</w:t>
      </w:r>
      <w:r w:rsidR="00CF5D9A">
        <w:t>s</w:t>
      </w:r>
      <w:r w:rsidRPr="00662D03">
        <w:t xml:space="preserve"> o</w:t>
      </w:r>
      <w:r w:rsidR="00C3385C">
        <w:t>f f</w:t>
      </w:r>
      <w:r w:rsidRPr="00662D03">
        <w:t xml:space="preserve">ermentation </w:t>
      </w:r>
      <w:r w:rsidR="00A5133E">
        <w:t xml:space="preserve">temperature </w:t>
      </w:r>
      <w:r w:rsidR="00CF5D9A">
        <w:t>to suit the current experiment</w:t>
      </w:r>
      <w:r w:rsidR="007636D0">
        <w:t>.</w:t>
      </w:r>
      <w:r w:rsidRPr="00662D03">
        <w:t xml:space="preserve"> Kefir grains were priorly activated </w:t>
      </w:r>
      <w:r w:rsidR="007636D0">
        <w:t>by</w:t>
      </w:r>
      <w:r w:rsidRPr="00662D03">
        <w:t xml:space="preserve"> inoculat</w:t>
      </w:r>
      <w:r w:rsidR="007636D0">
        <w:t>ing</w:t>
      </w:r>
      <w:r w:rsidRPr="00662D03">
        <w:t xml:space="preserve"> in pasteurised cow milk at ratio of 1:30 (w/v) for </w:t>
      </w:r>
      <w:r w:rsidR="00FD728A">
        <w:t>three</w:t>
      </w:r>
      <w:r w:rsidRPr="00662D03">
        <w:t xml:space="preserve"> incubation cycles of 12 </w:t>
      </w:r>
      <w:r w:rsidR="00F71D7F">
        <w:t>h</w:t>
      </w:r>
      <w:r w:rsidRPr="00662D03">
        <w:t xml:space="preserve"> each at 25</w:t>
      </w:r>
      <w:r w:rsidR="00455E98">
        <w:t> </w:t>
      </w:r>
      <w:r w:rsidRPr="00662D03">
        <w:t xml:space="preserve">°C (Gentry et al., 2023). The mixture was stirred gently and placed in </w:t>
      </w:r>
      <w:r w:rsidR="00FD728A">
        <w:t xml:space="preserve">the </w:t>
      </w:r>
      <w:r w:rsidRPr="00662D03">
        <w:t>incubator</w:t>
      </w:r>
      <w:r w:rsidR="00FD728A">
        <w:t xml:space="preserve"> </w:t>
      </w:r>
      <w:r w:rsidRPr="00662D03">
        <w:t>for fermentation following</w:t>
      </w:r>
      <w:r w:rsidR="00FD728A">
        <w:t xml:space="preserve"> the</w:t>
      </w:r>
      <w:r w:rsidRPr="00662D03">
        <w:t xml:space="preserve"> CCD design at constant humidity of 60</w:t>
      </w:r>
      <w:r w:rsidR="00455E98">
        <w:t> </w:t>
      </w:r>
      <w:r w:rsidRPr="00662D03">
        <w:t>%</w:t>
      </w:r>
      <w:r w:rsidR="009D7980">
        <w:t xml:space="preserve"> </w:t>
      </w:r>
      <w:r w:rsidRPr="00662D03">
        <w:t>RH following Standard MS1525:2014</w:t>
      </w:r>
      <w:r w:rsidR="007636D0">
        <w:t xml:space="preserve">. </w:t>
      </w:r>
      <w:r w:rsidRPr="00662D03">
        <w:t xml:space="preserve">At the end of fermentation, kefir grains were separated from the mixture </w:t>
      </w:r>
      <w:r w:rsidR="00FD728A">
        <w:t>and collected</w:t>
      </w:r>
      <w:r w:rsidRPr="00662D03">
        <w:t xml:space="preserve"> milk kefir </w:t>
      </w:r>
      <w:r w:rsidR="009D3B88">
        <w:t>was cooled down</w:t>
      </w:r>
      <w:r w:rsidRPr="00662D03">
        <w:t xml:space="preserve"> for 10 minutes prior to the analysis.</w:t>
      </w:r>
    </w:p>
    <w:p w14:paraId="04963A06" w14:textId="180CB621" w:rsidR="00600535" w:rsidRPr="00B57B36" w:rsidRDefault="00662D03" w:rsidP="006F4CB6">
      <w:pPr>
        <w:pStyle w:val="CETheadingx"/>
      </w:pPr>
      <w:r>
        <w:t xml:space="preserve">RSM </w:t>
      </w:r>
      <w:proofErr w:type="spellStart"/>
      <w:r>
        <w:t>optimisation</w:t>
      </w:r>
      <w:proofErr w:type="spellEnd"/>
    </w:p>
    <w:p w14:paraId="0CD7C070" w14:textId="083200E7" w:rsidR="00662D03" w:rsidRDefault="00662D03" w:rsidP="00662D03">
      <w:pPr>
        <w:pStyle w:val="CETListbullets"/>
        <w:ind w:left="0" w:firstLine="0"/>
      </w:pPr>
      <w:r w:rsidRPr="00662D03">
        <w:t xml:space="preserve">The RSM designs using BBD and CCD respectively for </w:t>
      </w:r>
      <w:r w:rsidRPr="00FD728A">
        <w:rPr>
          <w:i/>
          <w:iCs/>
        </w:rPr>
        <w:t xml:space="preserve">tempeh </w:t>
      </w:r>
      <w:r w:rsidRPr="00662D03">
        <w:t xml:space="preserve">and milk kefir optimisation were generated using a statistical software (Minitab Release 14, Minitab Inc., US). </w:t>
      </w:r>
      <w:r w:rsidR="00C6051F">
        <w:t>T</w:t>
      </w:r>
      <w:r w:rsidR="0034701B">
        <w:t xml:space="preserve">he </w:t>
      </w:r>
      <w:r w:rsidR="00823A7B">
        <w:t xml:space="preserve">BBD </w:t>
      </w:r>
      <w:r w:rsidR="00823A7B" w:rsidRPr="00823A7B">
        <w:t xml:space="preserve">requires fewer runs and efficiently estimates quadratic effects making it ideal for exploring interactions among </w:t>
      </w:r>
      <w:r w:rsidR="00823A7B">
        <w:t>three</w:t>
      </w:r>
      <w:r w:rsidR="00823A7B" w:rsidRPr="00823A7B">
        <w:t xml:space="preserve"> factors</w:t>
      </w:r>
      <w:r w:rsidR="00620CE0">
        <w:t xml:space="preserve"> for </w:t>
      </w:r>
      <w:r w:rsidR="00620CE0" w:rsidRPr="00620CE0">
        <w:rPr>
          <w:i/>
          <w:iCs/>
        </w:rPr>
        <w:t>tempeh</w:t>
      </w:r>
      <w:r w:rsidR="00620CE0">
        <w:t xml:space="preserve"> fermentation</w:t>
      </w:r>
      <w:r w:rsidR="00823A7B" w:rsidRPr="00823A7B">
        <w:t xml:space="preserve"> </w:t>
      </w:r>
      <w:r w:rsidR="00823A7B">
        <w:t xml:space="preserve">while </w:t>
      </w:r>
      <w:r w:rsidR="007C7452">
        <w:t>CCD’s flexibility and efficiency in exploring non-linear behaviour and establishing a quadratic model</w:t>
      </w:r>
      <w:r w:rsidR="0034701B">
        <w:t xml:space="preserve"> suited </w:t>
      </w:r>
      <w:r w:rsidR="00176B87">
        <w:t xml:space="preserve">milk kefir fermentation </w:t>
      </w:r>
      <w:r w:rsidR="0034701B">
        <w:t>optimising</w:t>
      </w:r>
      <w:r w:rsidR="00176B87">
        <w:t xml:space="preserve"> two factors.</w:t>
      </w:r>
      <w:r w:rsidR="00C6051F">
        <w:t xml:space="preserve"> </w:t>
      </w:r>
      <w:r w:rsidRPr="00662D03">
        <w:t>A total of 15 runs for the three-factor BBD</w:t>
      </w:r>
      <w:r w:rsidRPr="00D1142F">
        <w:rPr>
          <w:i/>
          <w:iCs/>
        </w:rPr>
        <w:t xml:space="preserve"> tempeh</w:t>
      </w:r>
      <w:r w:rsidRPr="00662D03">
        <w:t xml:space="preserve"> optimisation (Daji et al., 2022) were determined at setting targets of maximum values for textur</w:t>
      </w:r>
      <w:r w:rsidR="00FD728A">
        <w:t xml:space="preserve">al attributes </w:t>
      </w:r>
      <w:r w:rsidRPr="00662D03">
        <w:t>(Erkan</w:t>
      </w:r>
      <w:r w:rsidR="00111E01">
        <w:t xml:space="preserve"> et al. </w:t>
      </w:r>
      <w:r w:rsidRPr="00662D03">
        <w:t xml:space="preserve">2020), colour </w:t>
      </w:r>
      <w:r w:rsidR="00FD728A">
        <w:t xml:space="preserve">parameters </w:t>
      </w:r>
      <w:r w:rsidRPr="00662D03">
        <w:t>(maximum L*, minimum a* and b*</w:t>
      </w:r>
      <w:r w:rsidR="00FD728A">
        <w:t>)</w:t>
      </w:r>
      <w:r w:rsidRPr="00662D03">
        <w:t xml:space="preserve"> (</w:t>
      </w:r>
      <w:proofErr w:type="spellStart"/>
      <w:r w:rsidRPr="00662D03">
        <w:t>Muzdalifah</w:t>
      </w:r>
      <w:proofErr w:type="spellEnd"/>
      <w:r w:rsidR="00911381">
        <w:t xml:space="preserve"> et al.</w:t>
      </w:r>
      <w:r w:rsidRPr="00662D03">
        <w:t>, 2017) and pH at 7.0 (</w:t>
      </w:r>
      <w:proofErr w:type="spellStart"/>
      <w:r w:rsidRPr="00662D03">
        <w:t>Handoyo</w:t>
      </w:r>
      <w:proofErr w:type="spellEnd"/>
      <w:r w:rsidRPr="00662D03">
        <w:t xml:space="preserve"> </w:t>
      </w:r>
      <w:r w:rsidR="008517D2">
        <w:t>and</w:t>
      </w:r>
      <w:r w:rsidRPr="00662D03">
        <w:t xml:space="preserve"> Morita, 2006). A total of 39 runs for the two-factor CCD for milk kefir optimisation was determined by setting targets of pH at 4.4 as recommended by </w:t>
      </w:r>
      <w:proofErr w:type="spellStart"/>
      <w:r w:rsidRPr="00662D03">
        <w:t>Lengkey</w:t>
      </w:r>
      <w:proofErr w:type="spellEnd"/>
      <w:r w:rsidRPr="00662D03">
        <w:t xml:space="preserve"> </w:t>
      </w:r>
      <w:r w:rsidR="008517D2">
        <w:t>and</w:t>
      </w:r>
      <w:r w:rsidRPr="00662D03">
        <w:t xml:space="preserve"> Balia (2014), viscosity at 1200 </w:t>
      </w:r>
      <w:proofErr w:type="spellStart"/>
      <w:r w:rsidRPr="00662D03">
        <w:t>mPa.s</w:t>
      </w:r>
      <w:proofErr w:type="spellEnd"/>
      <w:r w:rsidRPr="00662D03">
        <w:t xml:space="preserve"> based on </w:t>
      </w:r>
      <w:proofErr w:type="spellStart"/>
      <w:r w:rsidRPr="00662D03">
        <w:t>Setyawardani</w:t>
      </w:r>
      <w:proofErr w:type="spellEnd"/>
      <w:r w:rsidRPr="00662D03">
        <w:t xml:space="preserve"> et al. (2019) and lactic acid percentage at 0.8</w:t>
      </w:r>
      <w:r w:rsidR="00455E98">
        <w:t> </w:t>
      </w:r>
      <w:r w:rsidRPr="00662D03">
        <w:t>% following recommendations of Yilmaz et al. (2022).</w:t>
      </w:r>
    </w:p>
    <w:p w14:paraId="71F558D6" w14:textId="77777777" w:rsidR="00662D03" w:rsidRDefault="00662D03" w:rsidP="00662D03">
      <w:pPr>
        <w:pStyle w:val="CETListbullets"/>
        <w:ind w:left="0" w:firstLine="0"/>
      </w:pPr>
    </w:p>
    <w:p w14:paraId="78EF43FC" w14:textId="543BE44C" w:rsidR="00662D03" w:rsidRDefault="00662D03" w:rsidP="00662D03">
      <w:pPr>
        <w:pStyle w:val="CETListbullets"/>
        <w:ind w:left="0" w:firstLine="0"/>
        <w:rPr>
          <w:lang w:val="en-MY"/>
        </w:rPr>
      </w:pPr>
      <w:r w:rsidRPr="00662D03">
        <w:rPr>
          <w:lang w:val="en-MY"/>
        </w:rPr>
        <w:t xml:space="preserve">For </w:t>
      </w:r>
      <w:r w:rsidRPr="00662D03">
        <w:rPr>
          <w:i/>
          <w:iCs/>
          <w:lang w:val="en-MY"/>
        </w:rPr>
        <w:t xml:space="preserve">tempeh </w:t>
      </w:r>
      <w:r w:rsidRPr="00662D03">
        <w:rPr>
          <w:lang w:val="en-MY"/>
        </w:rPr>
        <w:t xml:space="preserve">analysis, Texture Profile Analysis was used to assess </w:t>
      </w:r>
      <w:r w:rsidR="00FD728A">
        <w:rPr>
          <w:lang w:val="en-MY"/>
        </w:rPr>
        <w:t>t</w:t>
      </w:r>
      <w:r w:rsidRPr="00662D03">
        <w:rPr>
          <w:lang w:val="en-MY"/>
        </w:rPr>
        <w:t>extur</w:t>
      </w:r>
      <w:r w:rsidR="00FD728A">
        <w:rPr>
          <w:lang w:val="en-MY"/>
        </w:rPr>
        <w:t>al attributes</w:t>
      </w:r>
      <w:r w:rsidR="00644320">
        <w:rPr>
          <w:lang w:val="en-MY"/>
        </w:rPr>
        <w:t xml:space="preserve"> </w:t>
      </w:r>
      <w:r w:rsidRPr="00662D03">
        <w:rPr>
          <w:lang w:val="en-MY"/>
        </w:rPr>
        <w:t>using a texture analyser (TA-</w:t>
      </w:r>
      <w:proofErr w:type="spellStart"/>
      <w:r w:rsidRPr="00662D03">
        <w:rPr>
          <w:lang w:val="en-MY"/>
        </w:rPr>
        <w:t>XTplus</w:t>
      </w:r>
      <w:proofErr w:type="spellEnd"/>
      <w:r w:rsidRPr="00662D03">
        <w:rPr>
          <w:lang w:val="en-MY"/>
        </w:rPr>
        <w:t xml:space="preserve">, Stable Micro Systems, Surrey, U.K.). </w:t>
      </w:r>
      <w:r w:rsidR="00B866BE">
        <w:rPr>
          <w:i/>
          <w:iCs/>
          <w:lang w:val="en-MY"/>
        </w:rPr>
        <w:t>T</w:t>
      </w:r>
      <w:r w:rsidRPr="00662D03">
        <w:rPr>
          <w:i/>
          <w:iCs/>
          <w:lang w:val="en-MY"/>
        </w:rPr>
        <w:t>empeh</w:t>
      </w:r>
      <w:r w:rsidRPr="00662D03">
        <w:rPr>
          <w:lang w:val="en-MY"/>
        </w:rPr>
        <w:t xml:space="preserve"> samples sized 2 cm x 2 cm were </w:t>
      </w:r>
      <w:r w:rsidR="00B866BE">
        <w:rPr>
          <w:lang w:val="en-MY"/>
        </w:rPr>
        <w:t>placed</w:t>
      </w:r>
      <w:r w:rsidRPr="00662D03">
        <w:rPr>
          <w:lang w:val="en-MY"/>
        </w:rPr>
        <w:t xml:space="preserve"> at the </w:t>
      </w:r>
      <w:proofErr w:type="spellStart"/>
      <w:r w:rsidRPr="00662D03">
        <w:rPr>
          <w:lang w:val="en-MY"/>
        </w:rPr>
        <w:t>center</w:t>
      </w:r>
      <w:proofErr w:type="spellEnd"/>
      <w:r w:rsidRPr="00662D03">
        <w:rPr>
          <w:lang w:val="en-MY"/>
        </w:rPr>
        <w:t xml:space="preserve"> of the platform where two compression cycles at 5</w:t>
      </w:r>
      <w:r w:rsidR="00FD728A">
        <w:rPr>
          <w:lang w:val="en-MY"/>
        </w:rPr>
        <w:t> </w:t>
      </w:r>
      <w:r w:rsidRPr="00662D03">
        <w:rPr>
          <w:lang w:val="en-MY"/>
        </w:rPr>
        <w:t xml:space="preserve">s interval were made by a </w:t>
      </w:r>
      <w:r w:rsidR="00FD728A" w:rsidRPr="00662D03">
        <w:rPr>
          <w:lang w:val="en-MY"/>
        </w:rPr>
        <w:t xml:space="preserve">75 mm </w:t>
      </w:r>
      <w:r w:rsidR="00FD728A">
        <w:rPr>
          <w:lang w:val="en-MY"/>
        </w:rPr>
        <w:t xml:space="preserve">stainless steel </w:t>
      </w:r>
      <w:r w:rsidR="00FD728A" w:rsidRPr="00662D03">
        <w:rPr>
          <w:lang w:val="en-MY"/>
        </w:rPr>
        <w:t xml:space="preserve">cylinder compression probe </w:t>
      </w:r>
      <w:r w:rsidRPr="00662D03">
        <w:rPr>
          <w:lang w:val="en-MY"/>
        </w:rPr>
        <w:t>at 50</w:t>
      </w:r>
      <w:r w:rsidR="00455E98">
        <w:rPr>
          <w:lang w:val="en-MY"/>
        </w:rPr>
        <w:t> </w:t>
      </w:r>
      <w:r w:rsidRPr="00662D03">
        <w:rPr>
          <w:lang w:val="en-MY"/>
        </w:rPr>
        <w:t xml:space="preserve">% strain of sample height </w:t>
      </w:r>
      <w:bookmarkStart w:id="5" w:name="_Hlk190968731"/>
      <w:sdt>
        <w:sdtPr>
          <w:rPr>
            <w:lang w:val="en-MY"/>
          </w:rPr>
          <w:tag w:val="MENDELEY_CITATION_v3_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"/>
          <w:id w:val="-271092705"/>
          <w:placeholder>
            <w:docPart w:val="584DF1DDECD04AD3BBF2EAC848DF07D9"/>
          </w:placeholder>
        </w:sdtPr>
        <w:sdtContent>
          <w:bookmarkEnd w:id="5"/>
          <w:r w:rsidRPr="00662D03">
            <w:rPr>
              <w:lang w:val="en-MY"/>
            </w:rPr>
            <w:t>(Erkan et al., 2020)</w:t>
          </w:r>
        </w:sdtContent>
      </w:sdt>
      <w:r w:rsidRPr="00662D03">
        <w:rPr>
          <w:lang w:val="en-MY"/>
        </w:rPr>
        <w:t xml:space="preserve">. Colour analysis was conducted using a colour spectrophotometer (Hunter lab </w:t>
      </w:r>
      <w:proofErr w:type="spellStart"/>
      <w:r w:rsidRPr="00662D03">
        <w:rPr>
          <w:lang w:val="en-MY"/>
        </w:rPr>
        <w:t>UltraScan</w:t>
      </w:r>
      <w:proofErr w:type="spellEnd"/>
      <w:r w:rsidRPr="00662D03">
        <w:rPr>
          <w:lang w:val="en-MY"/>
        </w:rPr>
        <w:t xml:space="preserve"> VIS, US)</w:t>
      </w:r>
      <w:r w:rsidR="009D3B88">
        <w:rPr>
          <w:lang w:val="en-MY"/>
        </w:rPr>
        <w:t xml:space="preserve"> </w:t>
      </w:r>
      <w:r w:rsidR="00FD728A">
        <w:rPr>
          <w:lang w:val="en-MY"/>
        </w:rPr>
        <w:t xml:space="preserve">in </w:t>
      </w:r>
      <w:r w:rsidR="00B866BE">
        <w:rPr>
          <w:lang w:val="en-MY"/>
        </w:rPr>
        <w:t>q</w:t>
      </w:r>
      <w:r w:rsidRPr="00662D03">
        <w:rPr>
          <w:lang w:val="en-MY"/>
        </w:rPr>
        <w:t>uadruplicate</w:t>
      </w:r>
      <w:r w:rsidR="00FD728A">
        <w:rPr>
          <w:lang w:val="en-MY"/>
        </w:rPr>
        <w:t>s</w:t>
      </w:r>
      <w:r w:rsidR="00B866BE">
        <w:rPr>
          <w:lang w:val="en-MY"/>
        </w:rPr>
        <w:t>. pH</w:t>
      </w:r>
      <w:r w:rsidRPr="00662D03">
        <w:rPr>
          <w:lang w:val="en-MY"/>
        </w:rPr>
        <w:t xml:space="preserve"> was measured using a pH meter (Milwaukee MW 100 Pro, United States</w:t>
      </w:r>
      <w:r w:rsidR="009D3B88">
        <w:rPr>
          <w:lang w:val="en-MY"/>
        </w:rPr>
        <w:t>)</w:t>
      </w:r>
      <w:r w:rsidR="00FD728A">
        <w:rPr>
          <w:lang w:val="en-MY"/>
        </w:rPr>
        <w:t xml:space="preserve"> in triplicates</w:t>
      </w:r>
      <w:r w:rsidRPr="00662D03">
        <w:rPr>
          <w:lang w:val="en-MY"/>
        </w:rPr>
        <w:t xml:space="preserve">. 10 g of </w:t>
      </w:r>
      <w:r w:rsidRPr="00662D03">
        <w:rPr>
          <w:i/>
          <w:iCs/>
          <w:lang w:val="en-MY"/>
        </w:rPr>
        <w:t>tempeh</w:t>
      </w:r>
      <w:r w:rsidRPr="00662D03">
        <w:rPr>
          <w:lang w:val="en-MY"/>
        </w:rPr>
        <w:t xml:space="preserve"> was blended with 100 mL of distilled water in blender for 30 seconds to make slurry</w:t>
      </w:r>
      <w:r w:rsidR="00FD728A">
        <w:rPr>
          <w:lang w:val="en-MY"/>
        </w:rPr>
        <w:t xml:space="preserve"> while for </w:t>
      </w:r>
      <w:r w:rsidRPr="00662D03">
        <w:rPr>
          <w:lang w:val="en-MY"/>
        </w:rPr>
        <w:t xml:space="preserve">milk kefir, 3 mL was </w:t>
      </w:r>
      <w:r w:rsidR="00FD728A">
        <w:rPr>
          <w:lang w:val="en-MY"/>
        </w:rPr>
        <w:t>used</w:t>
      </w:r>
      <w:r w:rsidRPr="00662D03">
        <w:rPr>
          <w:lang w:val="en-MY"/>
        </w:rPr>
        <w:t>. The tip</w:t>
      </w:r>
      <w:r w:rsidR="00FD728A">
        <w:rPr>
          <w:lang w:val="en-MY"/>
        </w:rPr>
        <w:t xml:space="preserve"> of pH meter probe </w:t>
      </w:r>
      <w:r w:rsidRPr="00662D03">
        <w:rPr>
          <w:lang w:val="en-MY"/>
        </w:rPr>
        <w:t xml:space="preserve">was immersed into the </w:t>
      </w:r>
      <w:r w:rsidR="00FD728A">
        <w:rPr>
          <w:lang w:val="en-MY"/>
        </w:rPr>
        <w:t xml:space="preserve">tempeh </w:t>
      </w:r>
      <w:r w:rsidRPr="00662D03">
        <w:rPr>
          <w:lang w:val="en-MY"/>
        </w:rPr>
        <w:t>slurry or milk kefir.</w:t>
      </w:r>
    </w:p>
    <w:p w14:paraId="7C401ABE" w14:textId="77777777" w:rsidR="00662D03" w:rsidRPr="00662D03" w:rsidRDefault="00662D03" w:rsidP="00662D03">
      <w:pPr>
        <w:pStyle w:val="CETListbullets"/>
        <w:ind w:left="0" w:firstLine="0"/>
        <w:rPr>
          <w:lang w:val="en-MY"/>
        </w:rPr>
      </w:pPr>
    </w:p>
    <w:p w14:paraId="0E101CDA" w14:textId="07F79D4F" w:rsidR="00662D03" w:rsidRPr="00662D03" w:rsidRDefault="00662D03" w:rsidP="00662D03">
      <w:pPr>
        <w:pStyle w:val="CETListbullets"/>
        <w:ind w:left="0" w:firstLine="0"/>
      </w:pPr>
      <w:r w:rsidRPr="00662D03">
        <w:rPr>
          <w:lang w:val="en-MY"/>
        </w:rPr>
        <w:lastRenderedPageBreak/>
        <w:t xml:space="preserve">Viscosity was measured using a viscometer (Model BDV-8S, </w:t>
      </w:r>
      <w:proofErr w:type="spellStart"/>
      <w:r w:rsidRPr="00662D03">
        <w:rPr>
          <w:lang w:val="en-MY"/>
        </w:rPr>
        <w:t>Biobase</w:t>
      </w:r>
      <w:proofErr w:type="spellEnd"/>
      <w:r w:rsidRPr="00662D03">
        <w:rPr>
          <w:lang w:val="en-MY"/>
        </w:rPr>
        <w:t xml:space="preserve">, China). </w:t>
      </w:r>
      <w:r w:rsidR="00C3385C">
        <w:rPr>
          <w:lang w:val="en-MY"/>
        </w:rPr>
        <w:t>S</w:t>
      </w:r>
      <w:r w:rsidRPr="00662D03">
        <w:rPr>
          <w:lang w:val="en-MY"/>
        </w:rPr>
        <w:t xml:space="preserve">pindle </w:t>
      </w:r>
      <w:r w:rsidR="00C3385C" w:rsidRPr="00662D03">
        <w:rPr>
          <w:lang w:val="en-MY"/>
        </w:rPr>
        <w:t xml:space="preserve">No. 2 </w:t>
      </w:r>
      <w:r w:rsidR="00C3385C">
        <w:rPr>
          <w:lang w:val="en-MY"/>
        </w:rPr>
        <w:t xml:space="preserve">was </w:t>
      </w:r>
      <w:r w:rsidRPr="00662D03">
        <w:rPr>
          <w:lang w:val="en-MY"/>
        </w:rPr>
        <w:t xml:space="preserve">used </w:t>
      </w:r>
      <w:r w:rsidR="00C3385C">
        <w:rPr>
          <w:lang w:val="en-MY"/>
        </w:rPr>
        <w:t>at</w:t>
      </w:r>
      <w:r w:rsidRPr="00662D03">
        <w:rPr>
          <w:lang w:val="en-MY"/>
        </w:rPr>
        <w:t xml:space="preserve"> speed</w:t>
      </w:r>
      <w:r w:rsidR="00C3385C">
        <w:rPr>
          <w:lang w:val="en-MY"/>
        </w:rPr>
        <w:t xml:space="preserve"> </w:t>
      </w:r>
      <w:r w:rsidRPr="00662D03">
        <w:rPr>
          <w:lang w:val="en-MY"/>
        </w:rPr>
        <w:t>set at 30 rpm. 120</w:t>
      </w:r>
      <w:r w:rsidR="00C3385C">
        <w:rPr>
          <w:lang w:val="en-MY"/>
        </w:rPr>
        <w:t> </w:t>
      </w:r>
      <w:r w:rsidRPr="00662D03">
        <w:rPr>
          <w:lang w:val="en-MY"/>
        </w:rPr>
        <w:t xml:space="preserve">mL of milk kefir was poured into a </w:t>
      </w:r>
      <w:proofErr w:type="gramStart"/>
      <w:r w:rsidRPr="00662D03">
        <w:rPr>
          <w:lang w:val="en-MY"/>
        </w:rPr>
        <w:t>beaker</w:t>
      </w:r>
      <w:proofErr w:type="gramEnd"/>
      <w:r w:rsidR="00C3385C">
        <w:rPr>
          <w:lang w:val="en-MY"/>
        </w:rPr>
        <w:t xml:space="preserve"> and </w:t>
      </w:r>
      <w:r w:rsidRPr="00662D03">
        <w:rPr>
          <w:lang w:val="en-MY"/>
        </w:rPr>
        <w:t>the spindle was lowered until it touches the detection level. Measurement of viscosity was performed in triplicates at 25</w:t>
      </w:r>
      <w:r w:rsidR="00455E98">
        <w:rPr>
          <w:lang w:val="en-MY"/>
        </w:rPr>
        <w:t> </w:t>
      </w:r>
      <w:r w:rsidRPr="00662D03">
        <w:rPr>
          <w:lang w:val="en-MY"/>
        </w:rPr>
        <w:t xml:space="preserve">°C. </w:t>
      </w:r>
      <w:r w:rsidRPr="00662D03">
        <w:t xml:space="preserve">The determination of titratable acidity was performed </w:t>
      </w:r>
      <w:r w:rsidR="00644320">
        <w:t>to quantify</w:t>
      </w:r>
      <w:r w:rsidRPr="00662D03">
        <w:t xml:space="preserve"> lactic acid percentage</w:t>
      </w:r>
      <w:r w:rsidR="00484105">
        <w:t xml:space="preserve"> (Putri et.al. 2020). </w:t>
      </w:r>
      <w:r w:rsidRPr="00662D03">
        <w:t>5</w:t>
      </w:r>
      <w:r w:rsidR="00885E31">
        <w:t xml:space="preserve"> </w:t>
      </w:r>
      <w:r w:rsidRPr="00662D03">
        <w:t xml:space="preserve">mL of milk kefir was pipetted into the Erlenmeyer flask, followed by </w:t>
      </w:r>
      <w:r w:rsidR="00B866BE">
        <w:t>adding</w:t>
      </w:r>
      <w:r w:rsidRPr="00662D03">
        <w:t xml:space="preserve"> 3 drops of</w:t>
      </w:r>
      <w:r w:rsidR="00B866BE">
        <w:t xml:space="preserve"> </w:t>
      </w:r>
      <w:r w:rsidRPr="00662D03">
        <w:t>phenolphthalein solution. The mixture was titrated with 0.1</w:t>
      </w:r>
      <w:r w:rsidR="00C3385C">
        <w:t> </w:t>
      </w:r>
      <w:r w:rsidRPr="00662D03">
        <w:t xml:space="preserve">N sodium hydroxide solution until a vibrant pink was observed. The lactic acid percentage was calculated </w:t>
      </w:r>
      <w:r w:rsidR="00C3385C">
        <w:t>using equation below</w:t>
      </w:r>
      <w:r w:rsidRPr="00662D03">
        <w:t xml:space="preserve">. </w:t>
      </w:r>
    </w:p>
    <w:p w14:paraId="1B2F85E1" w14:textId="51943362" w:rsidR="00662D03" w:rsidRPr="00662D03" w:rsidRDefault="00662D03" w:rsidP="00662D03">
      <w:pPr>
        <w:pStyle w:val="CETEquation"/>
        <w:rPr>
          <w:rFonts w:cs="Arial"/>
          <w:noProof/>
          <w:lang w:val="it-IT" w:eastAsia="it-IT"/>
        </w:rPr>
      </w:pPr>
      <m:oMathPara>
        <m:oMathParaPr>
          <m:jc m:val="left"/>
        </m:oMathParaPr>
        <m:oMath>
          <m:r>
            <m:rPr>
              <m:nor/>
            </m:rPr>
            <w:rPr>
              <w:rFonts w:ascii="Cambria Math" w:hAnsi="Cambria Math" w:cs="Arial"/>
              <w:noProof/>
              <w:lang w:val="it-IT" w:eastAsia="it-IT"/>
            </w:rPr>
            <m:t xml:space="preserve">Lactic acid percentage </m:t>
          </m:r>
          <m:d>
            <m:dPr>
              <m:ctrlPr>
                <w:rPr>
                  <w:rFonts w:ascii="Cambria Math" w:hAnsi="Cambria Math" w:cs="Arial"/>
                  <w:noProof/>
                  <w:lang w:val="it-IT" w:eastAsia="it-IT"/>
                </w:rPr>
              </m:ctrlPr>
            </m:dPr>
            <m:e>
              <m:r>
                <m:rPr>
                  <m:nor/>
                </m:rPr>
                <w:rPr>
                  <w:rFonts w:ascii="Cambria Math" w:hAnsi="Cambria Math" w:cs="Arial"/>
                  <w:noProof/>
                  <w:lang w:val="it-IT" w:eastAsia="it-IT"/>
                </w:rPr>
                <m:t>%</m:t>
              </m:r>
            </m:e>
          </m:d>
          <m:r>
            <m:rPr>
              <m:nor/>
            </m:rPr>
            <w:rPr>
              <w:rFonts w:ascii="Cambria Math" w:hAnsi="Cambria Math" w:cs="Arial"/>
              <w:noProof/>
              <w:lang w:val="it-IT" w:eastAsia="it-IT"/>
            </w:rPr>
            <m:t xml:space="preserve">= </m:t>
          </m:r>
          <m:f>
            <m:fPr>
              <m:ctrlPr>
                <w:rPr>
                  <w:rFonts w:ascii="Cambria Math" w:hAnsi="Cambria Math" w:cs="Arial"/>
                  <w:noProof/>
                  <w:lang w:val="it-IT" w:eastAsia="it-IT"/>
                </w:rPr>
              </m:ctrlPr>
            </m:fPr>
            <m:num>
              <m:r>
                <m:rPr>
                  <m:nor/>
                </m:rPr>
                <w:rPr>
                  <w:rFonts w:ascii="Cambria Math" w:hAnsi="Cambria Math" w:cs="Arial"/>
                  <w:noProof/>
                  <w:lang w:val="it-IT" w:eastAsia="it-IT"/>
                </w:rPr>
                <m:t xml:space="preserve">Amount of NaOH added </m:t>
              </m:r>
              <m:d>
                <m:dPr>
                  <m:ctrlPr>
                    <w:rPr>
                      <w:rFonts w:ascii="Cambria Math" w:hAnsi="Cambria Math" w:cs="Arial"/>
                      <w:noProof/>
                      <w:lang w:val="it-IT" w:eastAsia="it-IT"/>
                    </w:rPr>
                  </m:ctrlPr>
                </m:dPr>
                <m:e>
                  <m:r>
                    <m:rPr>
                      <m:nor/>
                    </m:rPr>
                    <w:rPr>
                      <w:rFonts w:ascii="Cambria Math" w:hAnsi="Cambria Math" w:cs="Arial"/>
                      <w:noProof/>
                      <w:lang w:val="it-IT" w:eastAsia="it-IT"/>
                    </w:rPr>
                    <m:t>ml</m:t>
                  </m:r>
                </m:e>
              </m:d>
              <m:r>
                <m:rPr>
                  <m:nor/>
                </m:rPr>
                <w:rPr>
                  <w:rFonts w:ascii="Cambria Math" w:hAnsi="Cambria Math" w:cs="Arial"/>
                  <w:noProof/>
                  <w:lang w:val="it-IT" w:eastAsia="it-IT"/>
                </w:rPr>
                <m:t>*0.009</m:t>
              </m:r>
            </m:num>
            <m:den>
              <m:r>
                <m:rPr>
                  <m:nor/>
                </m:rPr>
                <w:rPr>
                  <w:rFonts w:ascii="Cambria Math" w:hAnsi="Cambria Math" w:cs="Arial"/>
                  <w:noProof/>
                  <w:lang w:val="it-IT" w:eastAsia="it-IT"/>
                </w:rPr>
                <m:t>Amount of milk kefir (ml)</m:t>
              </m:r>
            </m:den>
          </m:f>
          <m:r>
            <m:rPr>
              <m:nor/>
            </m:rPr>
            <w:rPr>
              <w:rFonts w:ascii="Cambria Math" w:hAnsi="Cambria Math" w:cs="Arial"/>
              <w:noProof/>
              <w:lang w:val="it-IT" w:eastAsia="it-IT"/>
            </w:rPr>
            <m:t>*100%</m:t>
          </m:r>
        </m:oMath>
      </m:oMathPara>
    </w:p>
    <w:p w14:paraId="2471FF96" w14:textId="77777777" w:rsidR="00A83C31" w:rsidRPr="00A83C31" w:rsidRDefault="00A83C31" w:rsidP="006F4CB6">
      <w:pPr>
        <w:pStyle w:val="CETheadingx"/>
      </w:pPr>
      <w:r w:rsidRPr="00A83C31">
        <w:t xml:space="preserve">Microbiological Plate Count </w:t>
      </w:r>
    </w:p>
    <w:p w14:paraId="4466D251" w14:textId="18B21041" w:rsidR="00A83C31" w:rsidRPr="00A83C31" w:rsidRDefault="00A83C31" w:rsidP="00A83C31">
      <w:pPr>
        <w:pStyle w:val="CETBodytext"/>
        <w:rPr>
          <w:lang w:val="en-MY"/>
        </w:rPr>
      </w:pPr>
      <w:bookmarkStart w:id="6" w:name="_Hlk186126559"/>
      <w:bookmarkStart w:id="7" w:name="_Hlk190709608"/>
      <w:r w:rsidRPr="00A83C31">
        <w:rPr>
          <w:lang w:val="en-MY"/>
        </w:rPr>
        <w:t>25</w:t>
      </w:r>
      <w:r w:rsidR="00C3385C">
        <w:rPr>
          <w:lang w:val="en-MY"/>
        </w:rPr>
        <w:t> </w:t>
      </w:r>
      <w:r w:rsidRPr="00A83C31">
        <w:rPr>
          <w:lang w:val="en-MY"/>
        </w:rPr>
        <w:t xml:space="preserve">g </w:t>
      </w:r>
      <w:r w:rsidRPr="00A83C31">
        <w:rPr>
          <w:iCs/>
          <w:lang w:val="en-MY"/>
        </w:rPr>
        <w:t>sample</w:t>
      </w:r>
      <w:r w:rsidRPr="00A83C31">
        <w:rPr>
          <w:lang w:val="en-MY"/>
        </w:rPr>
        <w:t xml:space="preserve"> was mixed with 225 m</w:t>
      </w:r>
      <w:r w:rsidR="00C3385C">
        <w:rPr>
          <w:lang w:val="en-MY"/>
        </w:rPr>
        <w:t>L</w:t>
      </w:r>
      <w:r w:rsidRPr="00A83C31">
        <w:rPr>
          <w:lang w:val="en-MY"/>
        </w:rPr>
        <w:t xml:space="preserve"> of 0.1</w:t>
      </w:r>
      <w:r w:rsidR="00455E98">
        <w:rPr>
          <w:lang w:val="en-MY"/>
        </w:rPr>
        <w:t> </w:t>
      </w:r>
      <w:r w:rsidRPr="00A83C31">
        <w:rPr>
          <w:lang w:val="en-MY"/>
        </w:rPr>
        <w:t>% peptone water (Oxoid, UK) then homogenised using a stomacher for 30 seconds. Subsequently, a series of dilutions from 10</w:t>
      </w:r>
      <w:r w:rsidRPr="00A83C31">
        <w:rPr>
          <w:vertAlign w:val="superscript"/>
          <w:lang w:val="en-MY"/>
        </w:rPr>
        <w:t>-1</w:t>
      </w:r>
      <w:r w:rsidRPr="00A83C31">
        <w:rPr>
          <w:lang w:val="en-MY"/>
        </w:rPr>
        <w:t xml:space="preserve"> up to 10</w:t>
      </w:r>
      <w:r w:rsidRPr="00A83C31">
        <w:rPr>
          <w:vertAlign w:val="superscript"/>
          <w:lang w:val="en-MY"/>
        </w:rPr>
        <w:t>-8</w:t>
      </w:r>
      <w:r w:rsidRPr="00A83C31">
        <w:rPr>
          <w:lang w:val="en-MY"/>
        </w:rPr>
        <w:t xml:space="preserve"> were prepared. From each dilution, 1</w:t>
      </w:r>
      <w:r w:rsidR="00C3385C">
        <w:rPr>
          <w:lang w:val="en-MY"/>
        </w:rPr>
        <w:t> </w:t>
      </w:r>
      <w:r w:rsidRPr="00A83C31">
        <w:rPr>
          <w:lang w:val="en-MY"/>
        </w:rPr>
        <w:t>m</w:t>
      </w:r>
      <w:r w:rsidR="00C3385C">
        <w:rPr>
          <w:lang w:val="en-MY"/>
        </w:rPr>
        <w:t xml:space="preserve">L </w:t>
      </w:r>
      <w:r w:rsidRPr="00A83C31">
        <w:rPr>
          <w:lang w:val="en-MY"/>
        </w:rPr>
        <w:t xml:space="preserve">was extracted and pipetted onto 3M </w:t>
      </w:r>
      <w:proofErr w:type="spellStart"/>
      <w:r w:rsidRPr="00A83C31">
        <w:rPr>
          <w:lang w:val="en-MY"/>
        </w:rPr>
        <w:t>petrifilm</w:t>
      </w:r>
      <w:proofErr w:type="spellEnd"/>
      <w:r w:rsidRPr="00A83C31">
        <w:rPr>
          <w:lang w:val="en-MY"/>
        </w:rPr>
        <w:t xml:space="preserve"> plates. </w:t>
      </w:r>
      <w:r w:rsidR="00B866BE">
        <w:rPr>
          <w:lang w:val="en-MY"/>
        </w:rPr>
        <w:t>Aerobic Plate Count</w:t>
      </w:r>
      <w:r w:rsidRPr="00A83C31">
        <w:rPr>
          <w:lang w:val="en-MY"/>
        </w:rPr>
        <w:t xml:space="preserve"> was determined using 3M </w:t>
      </w:r>
      <w:proofErr w:type="spellStart"/>
      <w:r w:rsidRPr="00A83C31">
        <w:rPr>
          <w:lang w:val="en-MY"/>
        </w:rPr>
        <w:t>Petrifilm</w:t>
      </w:r>
      <w:proofErr w:type="spellEnd"/>
      <w:r w:rsidRPr="00A83C31">
        <w:rPr>
          <w:lang w:val="en-MY"/>
        </w:rPr>
        <w:t xml:space="preserve"> AC Plate </w:t>
      </w:r>
      <w:r w:rsidR="00C3385C">
        <w:rPr>
          <w:lang w:val="en-MY"/>
        </w:rPr>
        <w:t>following</w:t>
      </w:r>
      <w:r w:rsidRPr="00A83C31">
        <w:rPr>
          <w:lang w:val="en-MY"/>
        </w:rPr>
        <w:t xml:space="preserve"> AOAC Method 990.12, while 3M </w:t>
      </w:r>
      <w:proofErr w:type="spellStart"/>
      <w:r w:rsidRPr="00A83C31">
        <w:rPr>
          <w:lang w:val="en-MY"/>
        </w:rPr>
        <w:t>Petrifilm</w:t>
      </w:r>
      <w:proofErr w:type="spellEnd"/>
      <w:r w:rsidRPr="00A83C31">
        <w:rPr>
          <w:lang w:val="en-MY"/>
        </w:rPr>
        <w:t xml:space="preserve"> Rapid Yeast and Mold Count (RYM) Plate was used for the yeast and </w:t>
      </w:r>
      <w:proofErr w:type="spellStart"/>
      <w:r w:rsidRPr="00A83C31">
        <w:rPr>
          <w:lang w:val="en-MY"/>
        </w:rPr>
        <w:t>mold</w:t>
      </w:r>
      <w:proofErr w:type="spellEnd"/>
      <w:r w:rsidRPr="00A83C31">
        <w:rPr>
          <w:lang w:val="en-MY"/>
        </w:rPr>
        <w:t xml:space="preserve"> analysis </w:t>
      </w:r>
      <w:r w:rsidR="00C3385C">
        <w:rPr>
          <w:lang w:val="en-MY"/>
        </w:rPr>
        <w:t xml:space="preserve">following </w:t>
      </w:r>
      <w:r w:rsidRPr="00A83C31">
        <w:rPr>
          <w:lang w:val="en-MY"/>
        </w:rPr>
        <w:t>AOAC Method 2014.05. The plated samples were then incubated at 35</w:t>
      </w:r>
      <w:r w:rsidR="00455E98">
        <w:rPr>
          <w:lang w:val="en-MY"/>
        </w:rPr>
        <w:t> </w:t>
      </w:r>
      <w:r w:rsidRPr="00A83C31">
        <w:rPr>
          <w:lang w:val="en-MY"/>
        </w:rPr>
        <w:t>°C for 48 h</w:t>
      </w:r>
      <w:r w:rsidR="002C3EB9">
        <w:rPr>
          <w:lang w:val="en-MY"/>
        </w:rPr>
        <w:t xml:space="preserve"> </w:t>
      </w:r>
      <w:r w:rsidRPr="00A83C31">
        <w:rPr>
          <w:lang w:val="en-MY"/>
        </w:rPr>
        <w:t>for AC plates while for RYM plates were incubated at 25</w:t>
      </w:r>
      <w:r w:rsidR="00455E98">
        <w:rPr>
          <w:lang w:val="en-MY"/>
        </w:rPr>
        <w:t> </w:t>
      </w:r>
      <w:r w:rsidRPr="00A83C31">
        <w:rPr>
          <w:lang w:val="en-MY"/>
        </w:rPr>
        <w:t>°C for 48</w:t>
      </w:r>
      <w:r w:rsidR="00C3385C">
        <w:rPr>
          <w:lang w:val="en-MY"/>
        </w:rPr>
        <w:t> </w:t>
      </w:r>
      <w:r w:rsidRPr="00A83C31">
        <w:rPr>
          <w:lang w:val="en-MY"/>
        </w:rPr>
        <w:t xml:space="preserve">h. The cultivation of </w:t>
      </w:r>
      <w:r w:rsidR="00C3385C">
        <w:rPr>
          <w:lang w:val="en-MY"/>
        </w:rPr>
        <w:t>lactic acid bacteria (</w:t>
      </w:r>
      <w:r w:rsidRPr="00A83C31">
        <w:rPr>
          <w:lang w:val="en-MY"/>
        </w:rPr>
        <w:t>LAB</w:t>
      </w:r>
      <w:r w:rsidR="00C3385C">
        <w:rPr>
          <w:lang w:val="en-MY"/>
        </w:rPr>
        <w:t>)</w:t>
      </w:r>
      <w:r w:rsidRPr="00A83C31">
        <w:rPr>
          <w:lang w:val="en-MY"/>
        </w:rPr>
        <w:t xml:space="preserve"> </w:t>
      </w:r>
      <w:bookmarkStart w:id="8" w:name="_Hlk190695664"/>
      <w:r w:rsidRPr="00A83C31">
        <w:rPr>
          <w:lang w:val="en-MY"/>
        </w:rPr>
        <w:t xml:space="preserve">was performed using MRS agar (M641, </w:t>
      </w:r>
      <w:proofErr w:type="spellStart"/>
      <w:r w:rsidRPr="00A83C31">
        <w:rPr>
          <w:lang w:val="en-MY"/>
        </w:rPr>
        <w:t>HiMedia</w:t>
      </w:r>
      <w:proofErr w:type="spellEnd"/>
      <w:r w:rsidRPr="00A83C31">
        <w:rPr>
          <w:lang w:val="en-MY"/>
        </w:rPr>
        <w:t>, India) supplemented with 1</w:t>
      </w:r>
      <w:r w:rsidR="00455E98">
        <w:rPr>
          <w:lang w:val="en-MY"/>
        </w:rPr>
        <w:t> </w:t>
      </w:r>
      <w:r w:rsidRPr="00A83C31">
        <w:rPr>
          <w:lang w:val="en-MY"/>
        </w:rPr>
        <w:t>% CaCO</w:t>
      </w:r>
      <w:r w:rsidRPr="00A83C31">
        <w:rPr>
          <w:vertAlign w:val="subscript"/>
          <w:lang w:val="en-MY"/>
        </w:rPr>
        <w:t xml:space="preserve">3 </w:t>
      </w:r>
      <w:r w:rsidRPr="00A83C31">
        <w:rPr>
          <w:lang w:val="en-MY"/>
        </w:rPr>
        <w:t>and incubated in an anaerobic gas-jar at 30</w:t>
      </w:r>
      <w:r w:rsidR="00C3385C">
        <w:rPr>
          <w:lang w:val="en-MY"/>
        </w:rPr>
        <w:t> </w:t>
      </w:r>
      <w:r w:rsidRPr="00A83C31">
        <w:rPr>
          <w:lang w:val="en-MY"/>
        </w:rPr>
        <w:t>°C for 48</w:t>
      </w:r>
      <w:r w:rsidR="00C3385C">
        <w:rPr>
          <w:lang w:val="en-MY"/>
        </w:rPr>
        <w:t> </w:t>
      </w:r>
      <w:r w:rsidRPr="00A83C31">
        <w:rPr>
          <w:lang w:val="en-MY"/>
        </w:rPr>
        <w:t xml:space="preserve">h </w:t>
      </w:r>
      <w:bookmarkEnd w:id="8"/>
      <w:r w:rsidR="00C3385C">
        <w:rPr>
          <w:lang w:val="en-MY"/>
        </w:rPr>
        <w:t>following</w:t>
      </w:r>
      <w:r w:rsidRPr="00A83C31">
        <w:rPr>
          <w:lang w:val="en-MY"/>
        </w:rPr>
        <w:t xml:space="preserve"> GB 4789.35-2016. Number of colonies (</w:t>
      </w:r>
      <w:r w:rsidR="007250B3">
        <w:rPr>
          <w:lang w:val="en-MY"/>
        </w:rPr>
        <w:t>CFU</w:t>
      </w:r>
      <w:r w:rsidRPr="00A83C31">
        <w:rPr>
          <w:lang w:val="en-MY"/>
        </w:rPr>
        <w:t>/g) on plates were manually counted</w:t>
      </w:r>
      <w:bookmarkEnd w:id="6"/>
      <w:r w:rsidRPr="00A83C31">
        <w:rPr>
          <w:lang w:val="en-MY"/>
        </w:rPr>
        <w:t xml:space="preserve">. </w:t>
      </w:r>
      <w:bookmarkEnd w:id="7"/>
    </w:p>
    <w:p w14:paraId="74D1299F" w14:textId="1CB2D3FF" w:rsidR="00A83C31" w:rsidRPr="00A83C31" w:rsidRDefault="00A83C31" w:rsidP="006F4CB6">
      <w:pPr>
        <w:pStyle w:val="CETheadingx"/>
      </w:pPr>
      <w:r w:rsidRPr="00A83C31">
        <w:t>Amplicon Sequencing for Microbiological Composition</w:t>
      </w:r>
    </w:p>
    <w:p w14:paraId="1736B419" w14:textId="2463C4DA" w:rsidR="00A83C31" w:rsidRDefault="009D3B88" w:rsidP="00A83C31">
      <w:pPr>
        <w:pStyle w:val="CETBodytext"/>
        <w:rPr>
          <w:lang w:val="en-MY"/>
        </w:rPr>
      </w:pPr>
      <w:r>
        <w:rPr>
          <w:lang w:val="en-MY"/>
        </w:rPr>
        <w:t xml:space="preserve">Bacterial </w:t>
      </w:r>
      <w:r w:rsidR="00A83C31" w:rsidRPr="00A83C31">
        <w:rPr>
          <w:lang w:val="en-MY"/>
        </w:rPr>
        <w:t xml:space="preserve">composition of optimised and commercial </w:t>
      </w:r>
      <w:r w:rsidR="00A83C31" w:rsidRPr="00A83C31">
        <w:rPr>
          <w:i/>
          <w:iCs/>
          <w:lang w:val="en-MY"/>
        </w:rPr>
        <w:t>tempeh</w:t>
      </w:r>
      <w:r w:rsidR="00A83C31" w:rsidRPr="00A83C31">
        <w:rPr>
          <w:lang w:val="en-MY"/>
        </w:rPr>
        <w:t xml:space="preserve"> and milk kefir samples were identified by performing amplicon 16S sequencing. </w:t>
      </w:r>
      <w:r>
        <w:rPr>
          <w:lang w:val="en-MY"/>
        </w:rPr>
        <w:t>M</w:t>
      </w:r>
      <w:r w:rsidR="00A83C31" w:rsidRPr="00A83C31">
        <w:rPr>
          <w:lang w:val="en-MY"/>
        </w:rPr>
        <w:t xml:space="preserve">icrobial DNA of samples were isolated using </w:t>
      </w:r>
      <w:proofErr w:type="spellStart"/>
      <w:r w:rsidR="00A83C31" w:rsidRPr="00A83C31">
        <w:rPr>
          <w:lang w:val="en-MY"/>
        </w:rPr>
        <w:t>DNeasy</w:t>
      </w:r>
      <w:proofErr w:type="spellEnd"/>
      <w:r w:rsidR="00A83C31" w:rsidRPr="00A83C31">
        <w:rPr>
          <w:lang w:val="en-MY"/>
        </w:rPr>
        <w:t xml:space="preserve"> </w:t>
      </w:r>
      <w:proofErr w:type="spellStart"/>
      <w:r w:rsidR="00A83C31" w:rsidRPr="00A83C31">
        <w:rPr>
          <w:lang w:val="en-MY"/>
        </w:rPr>
        <w:t>Powerfood</w:t>
      </w:r>
      <w:proofErr w:type="spellEnd"/>
      <w:r w:rsidR="00A83C31" w:rsidRPr="00A83C31">
        <w:rPr>
          <w:lang w:val="en-MY"/>
        </w:rPr>
        <w:t xml:space="preserve"> Microbial Kit (Qiagen, Hilden, Germany) in accordance </w:t>
      </w:r>
      <w:r>
        <w:rPr>
          <w:lang w:val="en-MY"/>
        </w:rPr>
        <w:t>with</w:t>
      </w:r>
      <w:r w:rsidR="00C3385C">
        <w:rPr>
          <w:lang w:val="en-MY"/>
        </w:rPr>
        <w:t xml:space="preserve"> </w:t>
      </w:r>
      <w:r w:rsidR="00A83C31" w:rsidRPr="00A83C31">
        <w:rPr>
          <w:lang w:val="en-MY"/>
        </w:rPr>
        <w:t>Qiagen’s handbook. Extracted DNA was proceeded for clean-up u</w:t>
      </w:r>
      <w:r w:rsidR="00C3385C">
        <w:rPr>
          <w:lang w:val="en-MY"/>
        </w:rPr>
        <w:t xml:space="preserve">sing </w:t>
      </w:r>
      <w:proofErr w:type="spellStart"/>
      <w:r w:rsidR="00A83C31" w:rsidRPr="00A83C31">
        <w:rPr>
          <w:lang w:val="en-MY"/>
        </w:rPr>
        <w:t>AMPure</w:t>
      </w:r>
      <w:proofErr w:type="spellEnd"/>
      <w:r w:rsidR="00A83C31" w:rsidRPr="00A83C31">
        <w:rPr>
          <w:lang w:val="en-MY"/>
        </w:rPr>
        <w:t xml:space="preserve"> XP beads (Beckman Coulter</w:t>
      </w:r>
      <w:r w:rsidR="00A83C31" w:rsidRPr="00A83C31">
        <w:rPr>
          <w:vertAlign w:val="superscript"/>
          <w:lang w:val="en-MY"/>
        </w:rPr>
        <w:t>®</w:t>
      </w:r>
      <w:r w:rsidR="00A83C31" w:rsidRPr="00A83C31">
        <w:rPr>
          <w:lang w:val="en-MY"/>
        </w:rPr>
        <w:t xml:space="preserve">, Brea, CA, USA) </w:t>
      </w:r>
      <w:r>
        <w:rPr>
          <w:lang w:val="en-MY"/>
        </w:rPr>
        <w:t xml:space="preserve">and </w:t>
      </w:r>
      <w:r w:rsidR="00A83C31" w:rsidRPr="00A83C31">
        <w:rPr>
          <w:lang w:val="en-MY"/>
        </w:rPr>
        <w:t xml:space="preserve">amplified </w:t>
      </w:r>
      <w:r w:rsidR="00C3385C">
        <w:rPr>
          <w:lang w:val="en-MY"/>
        </w:rPr>
        <w:t xml:space="preserve">at </w:t>
      </w:r>
      <w:r w:rsidR="00A83C31" w:rsidRPr="00A83C31">
        <w:rPr>
          <w:lang w:val="en-MY"/>
        </w:rPr>
        <w:t xml:space="preserve">16S V3-V4 regions. Successful amplification was determined by presence of desired band in positive control and absence band in negative control. DNA amplicons </w:t>
      </w:r>
      <w:proofErr w:type="gramStart"/>
      <w:r w:rsidR="00A83C31" w:rsidRPr="00A83C31">
        <w:rPr>
          <w:lang w:val="en-MY"/>
        </w:rPr>
        <w:t>was</w:t>
      </w:r>
      <w:proofErr w:type="gramEnd"/>
      <w:r w:rsidR="00A83C31" w:rsidRPr="00A83C31">
        <w:rPr>
          <w:lang w:val="en-MY"/>
        </w:rPr>
        <w:t xml:space="preserve"> read and sequenced using Illumina </w:t>
      </w:r>
      <w:proofErr w:type="spellStart"/>
      <w:r w:rsidR="00A83C31" w:rsidRPr="00A83C31">
        <w:rPr>
          <w:lang w:val="en-MY"/>
        </w:rPr>
        <w:t>Miseq</w:t>
      </w:r>
      <w:proofErr w:type="spellEnd"/>
      <w:r w:rsidR="00A83C31" w:rsidRPr="00A83C31">
        <w:rPr>
          <w:lang w:val="en-MY"/>
        </w:rPr>
        <w:t xml:space="preserve"> System (Illumina, San Diego, California) at 2</w:t>
      </w:r>
      <w:r w:rsidR="007645EE">
        <w:rPr>
          <w:lang w:val="en-MY"/>
        </w:rPr>
        <w:t xml:space="preserve"> </w:t>
      </w:r>
      <w:r w:rsidR="00A83C31" w:rsidRPr="00A83C31">
        <w:rPr>
          <w:lang w:val="en-MY"/>
        </w:rPr>
        <w:t>x</w:t>
      </w:r>
      <w:r w:rsidR="007645EE">
        <w:rPr>
          <w:lang w:val="en-MY"/>
        </w:rPr>
        <w:t xml:space="preserve"> </w:t>
      </w:r>
      <w:r w:rsidR="00A83C31" w:rsidRPr="00A83C31">
        <w:rPr>
          <w:lang w:val="en-MY"/>
        </w:rPr>
        <w:t>250</w:t>
      </w:r>
      <w:r w:rsidR="007645EE">
        <w:rPr>
          <w:lang w:val="en-MY"/>
        </w:rPr>
        <w:t> </w:t>
      </w:r>
      <w:r w:rsidR="00A83C31" w:rsidRPr="00A83C31">
        <w:rPr>
          <w:lang w:val="en-MY"/>
        </w:rPr>
        <w:t xml:space="preserve">bp configuration which generates approximately 100,000 raw reads per samples. Raw sequencing data collected were pre-processed using DADA2 in </w:t>
      </w:r>
      <w:proofErr w:type="spellStart"/>
      <w:r w:rsidR="00A83C31" w:rsidRPr="00A83C31">
        <w:rPr>
          <w:lang w:val="en-MY"/>
        </w:rPr>
        <w:t>Rstudio</w:t>
      </w:r>
      <w:proofErr w:type="spellEnd"/>
      <w:r w:rsidR="00A83C31" w:rsidRPr="00A83C31">
        <w:rPr>
          <w:lang w:val="en-MY"/>
        </w:rPr>
        <w:t xml:space="preserve"> (Version 2024.12.0-467) for bioinformatics analysis. Steps of pre-processing raw data involve checking sequencing quality, learning error rate, merging the contigs, defining taxonomy, collating number of sequences at different stages and creating </w:t>
      </w:r>
      <w:proofErr w:type="spellStart"/>
      <w:r w:rsidR="00A83C31" w:rsidRPr="00A83C31">
        <w:rPr>
          <w:lang w:val="en-MY"/>
        </w:rPr>
        <w:t>phyloseq</w:t>
      </w:r>
      <w:proofErr w:type="spellEnd"/>
      <w:r w:rsidR="00A83C31" w:rsidRPr="00A83C31">
        <w:rPr>
          <w:lang w:val="en-MY"/>
        </w:rPr>
        <w:t xml:space="preserve"> object. Bar plot featuring abundance percentage of dominant taxa was compared.</w:t>
      </w:r>
    </w:p>
    <w:p w14:paraId="61D1A6EE" w14:textId="53C548A4" w:rsidR="006A1FAD" w:rsidRDefault="006A1FAD" w:rsidP="006A1FAD">
      <w:pPr>
        <w:pStyle w:val="CETHeading1"/>
      </w:pPr>
      <w:r>
        <w:t>Results and Discussion</w:t>
      </w:r>
    </w:p>
    <w:p w14:paraId="2A2A78F5" w14:textId="0095630B" w:rsidR="006A1FAD" w:rsidRPr="00A83C31" w:rsidRDefault="006A1FAD" w:rsidP="006F4CB6">
      <w:pPr>
        <w:pStyle w:val="CETheadingx"/>
      </w:pPr>
      <w:proofErr w:type="spellStart"/>
      <w:r>
        <w:t>Optimisation</w:t>
      </w:r>
      <w:proofErr w:type="spellEnd"/>
      <w:r>
        <w:t xml:space="preserve"> using RSM</w:t>
      </w:r>
    </w:p>
    <w:p w14:paraId="23C67F52" w14:textId="348C73AF" w:rsidR="00644320" w:rsidRDefault="006A1FAD" w:rsidP="00644320">
      <w:pPr>
        <w:pStyle w:val="CETBodytext"/>
        <w:rPr>
          <w:lang w:val="en-MY"/>
        </w:rPr>
      </w:pPr>
      <w:r w:rsidRPr="006A1FAD">
        <w:rPr>
          <w:lang w:val="en-MY"/>
        </w:rPr>
        <w:t xml:space="preserve">The optimisation results of </w:t>
      </w:r>
      <w:r w:rsidRPr="00525DF2">
        <w:rPr>
          <w:i/>
          <w:iCs/>
          <w:lang w:val="en-MY"/>
        </w:rPr>
        <w:t>tempeh</w:t>
      </w:r>
      <w:r w:rsidRPr="006A1FAD">
        <w:rPr>
          <w:lang w:val="en-MY"/>
        </w:rPr>
        <w:t xml:space="preserve"> at </w:t>
      </w:r>
      <w:r w:rsidR="00F74518">
        <w:rPr>
          <w:lang w:val="en-MY"/>
        </w:rPr>
        <w:t xml:space="preserve">optimum </w:t>
      </w:r>
      <w:r w:rsidRPr="006A1FAD">
        <w:rPr>
          <w:lang w:val="en-MY"/>
        </w:rPr>
        <w:t xml:space="preserve">texture attributes, colour and pH </w:t>
      </w:r>
      <w:r w:rsidR="00C1654D">
        <w:rPr>
          <w:lang w:val="en-MY"/>
        </w:rPr>
        <w:t>7</w:t>
      </w:r>
      <w:r w:rsidRPr="006A1FAD">
        <w:rPr>
          <w:lang w:val="en-MY"/>
        </w:rPr>
        <w:t xml:space="preserve"> yielded fermentation temperature at 33.</w:t>
      </w:r>
      <w:r w:rsidR="007645EE">
        <w:rPr>
          <w:lang w:val="en-MY"/>
        </w:rPr>
        <w:t>1</w:t>
      </w:r>
      <w:r w:rsidR="00455E98">
        <w:rPr>
          <w:lang w:val="en-MY"/>
        </w:rPr>
        <w:t> </w:t>
      </w:r>
      <w:r w:rsidRPr="006A1FAD">
        <w:rPr>
          <w:lang w:val="en-MY"/>
        </w:rPr>
        <w:t>°C, fermentation time of 34.</w:t>
      </w:r>
      <w:r w:rsidR="007645EE">
        <w:rPr>
          <w:lang w:val="en-MY"/>
        </w:rPr>
        <w:t>1</w:t>
      </w:r>
      <w:r w:rsidRPr="006A1FAD">
        <w:rPr>
          <w:lang w:val="en-MY"/>
        </w:rPr>
        <w:t xml:space="preserve"> </w:t>
      </w:r>
      <w:r w:rsidR="00F71D7F">
        <w:rPr>
          <w:lang w:val="en-MY"/>
        </w:rPr>
        <w:t>h</w:t>
      </w:r>
      <w:r w:rsidRPr="006A1FAD">
        <w:rPr>
          <w:lang w:val="en-MY"/>
        </w:rPr>
        <w:t xml:space="preserve"> and humidity of 60.</w:t>
      </w:r>
      <w:r w:rsidR="007645EE">
        <w:rPr>
          <w:lang w:val="en-MY"/>
        </w:rPr>
        <w:t>5</w:t>
      </w:r>
      <w:bookmarkStart w:id="9" w:name="_Hlk198924786"/>
      <w:r w:rsidR="00455E98">
        <w:rPr>
          <w:lang w:val="en-MY"/>
        </w:rPr>
        <w:t> </w:t>
      </w:r>
      <w:r w:rsidR="007250B3">
        <w:rPr>
          <w:lang w:val="en-MY"/>
        </w:rPr>
        <w:t>%</w:t>
      </w:r>
      <w:bookmarkEnd w:id="9"/>
      <w:r w:rsidR="007250B3">
        <w:rPr>
          <w:lang w:val="en-MY"/>
        </w:rPr>
        <w:t xml:space="preserve"> </w:t>
      </w:r>
      <w:r w:rsidRPr="006A1FAD">
        <w:rPr>
          <w:lang w:val="en-MY"/>
        </w:rPr>
        <w:t>RH</w:t>
      </w:r>
      <w:r w:rsidR="007250B3">
        <w:rPr>
          <w:lang w:val="en-MY"/>
        </w:rPr>
        <w:t xml:space="preserve"> (Relative Humidity)</w:t>
      </w:r>
      <w:r w:rsidR="007645EE">
        <w:rPr>
          <w:lang w:val="en-MY"/>
        </w:rPr>
        <w:t xml:space="preserve">. </w:t>
      </w:r>
      <w:r w:rsidRPr="006A1FAD">
        <w:rPr>
          <w:lang w:val="en-MY"/>
        </w:rPr>
        <w:t>Table 1</w:t>
      </w:r>
      <w:r w:rsidR="007645EE">
        <w:rPr>
          <w:lang w:val="en-MY"/>
        </w:rPr>
        <w:t xml:space="preserve"> shows that t</w:t>
      </w:r>
      <w:r w:rsidRPr="006A1FAD">
        <w:rPr>
          <w:lang w:val="en-MY"/>
        </w:rPr>
        <w:t>he overall composite desirability obtained was acceptable at 0.8756 with most responses exhibiting high desirability scores</w:t>
      </w:r>
      <w:r w:rsidR="00B866BE">
        <w:rPr>
          <w:lang w:val="en-MY"/>
        </w:rPr>
        <w:t xml:space="preserve">. </w:t>
      </w:r>
      <w:r w:rsidRPr="006A1FAD">
        <w:rPr>
          <w:lang w:val="en-MY"/>
        </w:rPr>
        <w:t>High errors of more than 20</w:t>
      </w:r>
      <w:r w:rsidR="00455E98">
        <w:rPr>
          <w:lang w:val="en-MY"/>
        </w:rPr>
        <w:t> </w:t>
      </w:r>
      <w:r w:rsidRPr="006A1FAD">
        <w:rPr>
          <w:lang w:val="en-MY"/>
        </w:rPr>
        <w:t>% occurred in springiness and chewiness due to product</w:t>
      </w:r>
      <w:r w:rsidR="007645EE">
        <w:rPr>
          <w:lang w:val="en-MY"/>
        </w:rPr>
        <w:t>s</w:t>
      </w:r>
      <w:r w:rsidRPr="006A1FAD">
        <w:rPr>
          <w:lang w:val="en-MY"/>
        </w:rPr>
        <w:t xml:space="preserve"> of two attributes while colours a* and b* </w:t>
      </w:r>
      <w:r w:rsidR="007645EE">
        <w:rPr>
          <w:lang w:val="en-MY"/>
        </w:rPr>
        <w:t xml:space="preserve">were </w:t>
      </w:r>
      <w:r w:rsidRPr="006A1FAD">
        <w:rPr>
          <w:lang w:val="en-MY"/>
        </w:rPr>
        <w:t xml:space="preserve">due to variations </w:t>
      </w:r>
      <w:r w:rsidR="007645EE">
        <w:rPr>
          <w:lang w:val="en-MY"/>
        </w:rPr>
        <w:t xml:space="preserve">of </w:t>
      </w:r>
      <w:r w:rsidRPr="006A1FAD">
        <w:rPr>
          <w:lang w:val="en-MY"/>
        </w:rPr>
        <w:t>pigmentation degradation during fermentation. The pH value</w:t>
      </w:r>
      <w:r w:rsidR="009D3B88">
        <w:rPr>
          <w:lang w:val="en-MY"/>
        </w:rPr>
        <w:t xml:space="preserve"> </w:t>
      </w:r>
      <w:r w:rsidRPr="006A1FAD">
        <w:rPr>
          <w:lang w:val="en-MY"/>
        </w:rPr>
        <w:t xml:space="preserve">in </w:t>
      </w:r>
      <w:r w:rsidRPr="00C1654D">
        <w:rPr>
          <w:i/>
          <w:iCs/>
          <w:lang w:val="en-MY"/>
        </w:rPr>
        <w:t>tempeh</w:t>
      </w:r>
      <w:r w:rsidRPr="006A1FAD">
        <w:rPr>
          <w:lang w:val="en-MY"/>
        </w:rPr>
        <w:t xml:space="preserve"> fermentation has exhibited high consistency with target value</w:t>
      </w:r>
      <w:r w:rsidR="007645EE">
        <w:rPr>
          <w:lang w:val="en-MY"/>
        </w:rPr>
        <w:t xml:space="preserve"> with </w:t>
      </w:r>
      <w:r w:rsidRPr="006A1FAD">
        <w:rPr>
          <w:lang w:val="en-MY"/>
        </w:rPr>
        <w:t>negligible error of 0.14</w:t>
      </w:r>
      <w:r w:rsidR="00455E98">
        <w:rPr>
          <w:lang w:val="en-MY"/>
        </w:rPr>
        <w:t> </w:t>
      </w:r>
      <w:r w:rsidRPr="006A1FAD">
        <w:rPr>
          <w:lang w:val="en-MY"/>
        </w:rPr>
        <w:t>% and a strong desirability of 0.9</w:t>
      </w:r>
      <w:r w:rsidR="00614991">
        <w:rPr>
          <w:lang w:val="en-MY"/>
        </w:rPr>
        <w:t>160</w:t>
      </w:r>
      <w:r w:rsidRPr="006A1FAD">
        <w:rPr>
          <w:lang w:val="en-MY"/>
        </w:rPr>
        <w:t xml:space="preserve">. </w:t>
      </w:r>
      <w:r w:rsidR="00623A4B">
        <w:rPr>
          <w:lang w:val="en-MY"/>
        </w:rPr>
        <w:t>O</w:t>
      </w:r>
      <w:r w:rsidRPr="006A1FAD">
        <w:rPr>
          <w:lang w:val="en-MY"/>
        </w:rPr>
        <w:t xml:space="preserve">ptimisation of milk kefir targeted </w:t>
      </w:r>
      <w:r w:rsidR="00623A4B">
        <w:rPr>
          <w:lang w:val="en-MY"/>
        </w:rPr>
        <w:t xml:space="preserve">at </w:t>
      </w:r>
      <w:r w:rsidRPr="006A1FAD">
        <w:rPr>
          <w:lang w:val="en-MY"/>
        </w:rPr>
        <w:t xml:space="preserve">pH 4.4, viscosity 1200 </w:t>
      </w:r>
      <w:proofErr w:type="spellStart"/>
      <w:proofErr w:type="gramStart"/>
      <w:r w:rsidRPr="006A1FAD">
        <w:rPr>
          <w:lang w:val="en-MY"/>
        </w:rPr>
        <w:t>m.Pas</w:t>
      </w:r>
      <w:proofErr w:type="spellEnd"/>
      <w:proofErr w:type="gramEnd"/>
      <w:r w:rsidRPr="006A1FAD">
        <w:rPr>
          <w:lang w:val="en-MY"/>
        </w:rPr>
        <w:t xml:space="preserve"> and lactic acid percentage 0.8</w:t>
      </w:r>
      <w:r w:rsidR="00455E98">
        <w:rPr>
          <w:lang w:val="en-MY"/>
        </w:rPr>
        <w:t> </w:t>
      </w:r>
      <w:r w:rsidRPr="006A1FAD">
        <w:rPr>
          <w:lang w:val="en-MY"/>
        </w:rPr>
        <w:t>% yielded fermentation temperature at 35.8</w:t>
      </w:r>
      <w:r w:rsidR="00455E98">
        <w:rPr>
          <w:lang w:val="en-MY"/>
        </w:rPr>
        <w:t> </w:t>
      </w:r>
      <w:r w:rsidRPr="006A1FAD">
        <w:rPr>
          <w:lang w:val="en-MY"/>
        </w:rPr>
        <w:t xml:space="preserve">°C and fermentation time of 8.8 </w:t>
      </w:r>
      <w:r w:rsidR="00F71D7F">
        <w:rPr>
          <w:lang w:val="en-MY"/>
        </w:rPr>
        <w:t>h</w:t>
      </w:r>
      <w:r w:rsidRPr="006A1FAD">
        <w:rPr>
          <w:lang w:val="en-MY"/>
        </w:rPr>
        <w:t>. The high composite desirability of 0.9717 suggests favourable outcomes for all responses</w:t>
      </w:r>
      <w:r w:rsidR="009D3B88">
        <w:rPr>
          <w:lang w:val="en-MY"/>
        </w:rPr>
        <w:t>.</w:t>
      </w:r>
    </w:p>
    <w:p w14:paraId="0F65E2B0" w14:textId="77777777" w:rsidR="008517D2" w:rsidRPr="00A83C31" w:rsidRDefault="008517D2" w:rsidP="008517D2">
      <w:pPr>
        <w:pStyle w:val="CETheadingx"/>
      </w:pPr>
      <w:r>
        <w:t>Microbiological plate count</w:t>
      </w:r>
    </w:p>
    <w:p w14:paraId="52B6338E" w14:textId="77777777" w:rsidR="008517D2" w:rsidRDefault="008517D2" w:rsidP="008517D2">
      <w:pPr>
        <w:pStyle w:val="CETCaption"/>
        <w:spacing w:before="0" w:after="0"/>
        <w:rPr>
          <w:i w:val="0"/>
          <w:lang w:val="en-MY"/>
        </w:rPr>
      </w:pPr>
      <w:r w:rsidRPr="002522B8">
        <w:rPr>
          <w:i w:val="0"/>
          <w:lang w:val="en-MY"/>
        </w:rPr>
        <w:t>Table</w:t>
      </w:r>
      <w:r>
        <w:rPr>
          <w:i w:val="0"/>
          <w:lang w:val="en-MY"/>
        </w:rPr>
        <w:t xml:space="preserve"> 2</w:t>
      </w:r>
      <w:r w:rsidRPr="002522B8">
        <w:rPr>
          <w:i w:val="0"/>
          <w:lang w:val="en-MY"/>
        </w:rPr>
        <w:t xml:space="preserve"> show</w:t>
      </w:r>
      <w:r>
        <w:rPr>
          <w:i w:val="0"/>
          <w:lang w:val="en-MY"/>
        </w:rPr>
        <w:t>s</w:t>
      </w:r>
      <w:r w:rsidRPr="002522B8">
        <w:rPr>
          <w:i w:val="0"/>
          <w:lang w:val="en-MY"/>
        </w:rPr>
        <w:t xml:space="preserve"> that aerobic plate count, lactic acid bacteria and </w:t>
      </w:r>
      <w:proofErr w:type="spellStart"/>
      <w:r w:rsidRPr="002522B8">
        <w:rPr>
          <w:i w:val="0"/>
          <w:lang w:val="en-MY"/>
        </w:rPr>
        <w:t>mold</w:t>
      </w:r>
      <w:proofErr w:type="spellEnd"/>
      <w:r w:rsidRPr="002522B8">
        <w:rPr>
          <w:i w:val="0"/>
          <w:lang w:val="en-MY"/>
        </w:rPr>
        <w:t xml:space="preserve"> increased progressively during fermentation process for a duration of 48 </w:t>
      </w:r>
      <w:r>
        <w:rPr>
          <w:i w:val="0"/>
          <w:lang w:val="en-MY"/>
        </w:rPr>
        <w:t>h</w:t>
      </w:r>
      <w:r w:rsidRPr="002522B8">
        <w:rPr>
          <w:i w:val="0"/>
          <w:lang w:val="en-MY"/>
        </w:rPr>
        <w:t xml:space="preserve"> for </w:t>
      </w:r>
      <w:r w:rsidRPr="007645EE">
        <w:rPr>
          <w:iCs/>
          <w:lang w:val="en-MY"/>
        </w:rPr>
        <w:t>tempeh</w:t>
      </w:r>
      <w:r w:rsidRPr="002522B8">
        <w:rPr>
          <w:i w:val="0"/>
          <w:lang w:val="en-MY"/>
        </w:rPr>
        <w:t xml:space="preserve"> and 11 </w:t>
      </w:r>
      <w:r>
        <w:rPr>
          <w:i w:val="0"/>
          <w:lang w:val="en-MY"/>
        </w:rPr>
        <w:t>h</w:t>
      </w:r>
      <w:r w:rsidRPr="002522B8">
        <w:rPr>
          <w:i w:val="0"/>
          <w:lang w:val="en-MY"/>
        </w:rPr>
        <w:t xml:space="preserve"> for milk kefir. This increase reflected the effective proliferation of microorganisms during fermentation process. Based on the optimised fermentation duration of 34.</w:t>
      </w:r>
      <w:r>
        <w:rPr>
          <w:i w:val="0"/>
          <w:lang w:val="en-MY"/>
        </w:rPr>
        <w:t>1 </w:t>
      </w:r>
      <w:r w:rsidRPr="002522B8">
        <w:rPr>
          <w:i w:val="0"/>
          <w:lang w:val="en-MY"/>
        </w:rPr>
        <w:t xml:space="preserve">h found for </w:t>
      </w:r>
      <w:r w:rsidRPr="00623A4B">
        <w:rPr>
          <w:iCs/>
          <w:lang w:val="en-MY"/>
        </w:rPr>
        <w:t>tempeh</w:t>
      </w:r>
      <w:r w:rsidRPr="002522B8">
        <w:rPr>
          <w:i w:val="0"/>
          <w:lang w:val="en-MY"/>
        </w:rPr>
        <w:t xml:space="preserve">, the measured aerobic plate counts </w:t>
      </w:r>
      <w:proofErr w:type="gramStart"/>
      <w:r w:rsidRPr="002522B8">
        <w:rPr>
          <w:i w:val="0"/>
          <w:lang w:val="en-MY"/>
        </w:rPr>
        <w:t>was</w:t>
      </w:r>
      <w:proofErr w:type="gramEnd"/>
      <w:r w:rsidRPr="002522B8">
        <w:rPr>
          <w:i w:val="0"/>
          <w:lang w:val="en-MY"/>
        </w:rPr>
        <w:t xml:space="preserve"> 5.0 x 10</w:t>
      </w:r>
      <w:r w:rsidRPr="00623A4B">
        <w:rPr>
          <w:i w:val="0"/>
          <w:vertAlign w:val="superscript"/>
          <w:lang w:val="en-MY"/>
        </w:rPr>
        <w:t>8</w:t>
      </w:r>
      <w:r w:rsidRPr="002522B8">
        <w:rPr>
          <w:i w:val="0"/>
          <w:lang w:val="en-MY"/>
        </w:rPr>
        <w:t xml:space="preserve"> </w:t>
      </w:r>
      <w:r>
        <w:rPr>
          <w:i w:val="0"/>
          <w:lang w:val="en-MY"/>
        </w:rPr>
        <w:t xml:space="preserve">CFU/g </w:t>
      </w:r>
      <w:r w:rsidRPr="002522B8">
        <w:rPr>
          <w:i w:val="0"/>
          <w:lang w:val="en-MY"/>
        </w:rPr>
        <w:t>and lactic acid bacteria was 6.1</w:t>
      </w:r>
      <w:r>
        <w:rPr>
          <w:i w:val="0"/>
          <w:lang w:val="en-MY"/>
        </w:rPr>
        <w:t> </w:t>
      </w:r>
      <w:r w:rsidRPr="002522B8">
        <w:rPr>
          <w:i w:val="0"/>
          <w:lang w:val="en-MY"/>
        </w:rPr>
        <w:t>x</w:t>
      </w:r>
      <w:r>
        <w:rPr>
          <w:i w:val="0"/>
          <w:lang w:val="en-MY"/>
        </w:rPr>
        <w:t> </w:t>
      </w:r>
      <w:r w:rsidRPr="002522B8">
        <w:rPr>
          <w:i w:val="0"/>
          <w:lang w:val="en-MY"/>
        </w:rPr>
        <w:t>10</w:t>
      </w:r>
      <w:r w:rsidRPr="007D6466">
        <w:rPr>
          <w:i w:val="0"/>
          <w:vertAlign w:val="superscript"/>
          <w:lang w:val="en-MY"/>
        </w:rPr>
        <w:t>7</w:t>
      </w:r>
      <w:r w:rsidRPr="002522B8">
        <w:rPr>
          <w:i w:val="0"/>
          <w:lang w:val="en-MY"/>
        </w:rPr>
        <w:t xml:space="preserve"> </w:t>
      </w:r>
      <w:r>
        <w:rPr>
          <w:i w:val="0"/>
          <w:lang w:val="en-MY"/>
        </w:rPr>
        <w:t>CFU</w:t>
      </w:r>
      <w:r w:rsidRPr="002522B8">
        <w:rPr>
          <w:i w:val="0"/>
          <w:lang w:val="en-MY"/>
        </w:rPr>
        <w:t xml:space="preserve">/g, both of which are higher than commercial </w:t>
      </w:r>
      <w:r w:rsidRPr="0010712F">
        <w:rPr>
          <w:iCs/>
          <w:lang w:val="en-MY"/>
        </w:rPr>
        <w:t>tempeh.</w:t>
      </w:r>
      <w:r>
        <w:rPr>
          <w:i w:val="0"/>
          <w:lang w:val="en-MY"/>
        </w:rPr>
        <w:t xml:space="preserve"> </w:t>
      </w:r>
      <w:r w:rsidRPr="002522B8">
        <w:rPr>
          <w:i w:val="0"/>
          <w:lang w:val="en-MY"/>
        </w:rPr>
        <w:t xml:space="preserve">The commercial </w:t>
      </w:r>
      <w:r w:rsidRPr="0010712F">
        <w:rPr>
          <w:iCs/>
          <w:lang w:val="en-MY"/>
        </w:rPr>
        <w:t>tempeh</w:t>
      </w:r>
      <w:r w:rsidRPr="002522B8">
        <w:rPr>
          <w:i w:val="0"/>
          <w:lang w:val="en-MY"/>
        </w:rPr>
        <w:t xml:space="preserve"> unexpectedly showed higher </w:t>
      </w:r>
      <w:proofErr w:type="spellStart"/>
      <w:r w:rsidRPr="002522B8">
        <w:rPr>
          <w:i w:val="0"/>
          <w:lang w:val="en-MY"/>
        </w:rPr>
        <w:t>mold</w:t>
      </w:r>
      <w:proofErr w:type="spellEnd"/>
      <w:r w:rsidRPr="002522B8">
        <w:rPr>
          <w:i w:val="0"/>
          <w:lang w:val="en-MY"/>
        </w:rPr>
        <w:t xml:space="preserve"> counts of 1.1 x 10</w:t>
      </w:r>
      <w:r w:rsidRPr="00623A4B">
        <w:rPr>
          <w:i w:val="0"/>
          <w:vertAlign w:val="superscript"/>
          <w:lang w:val="en-MY"/>
        </w:rPr>
        <w:t>5</w:t>
      </w:r>
      <w:r w:rsidRPr="002522B8">
        <w:rPr>
          <w:i w:val="0"/>
          <w:lang w:val="en-MY"/>
        </w:rPr>
        <w:t xml:space="preserve"> </w:t>
      </w:r>
      <w:r>
        <w:rPr>
          <w:i w:val="0"/>
          <w:lang w:val="en-MY"/>
        </w:rPr>
        <w:t>CFU</w:t>
      </w:r>
      <w:r w:rsidRPr="002522B8">
        <w:rPr>
          <w:i w:val="0"/>
          <w:lang w:val="en-MY"/>
        </w:rPr>
        <w:t xml:space="preserve">/g which </w:t>
      </w:r>
      <w:r>
        <w:rPr>
          <w:i w:val="0"/>
          <w:lang w:val="en-MY"/>
        </w:rPr>
        <w:t xml:space="preserve">could have </w:t>
      </w:r>
      <w:r w:rsidRPr="002522B8">
        <w:rPr>
          <w:i w:val="0"/>
          <w:lang w:val="en-MY"/>
        </w:rPr>
        <w:t>controlled the proliferation of microbes</w:t>
      </w:r>
      <w:r>
        <w:rPr>
          <w:i w:val="0"/>
          <w:lang w:val="en-MY"/>
        </w:rPr>
        <w:t xml:space="preserve"> during </w:t>
      </w:r>
      <w:r w:rsidRPr="0010712F">
        <w:rPr>
          <w:iCs/>
          <w:lang w:val="en-MY"/>
        </w:rPr>
        <w:t xml:space="preserve">tempeh </w:t>
      </w:r>
      <w:r>
        <w:rPr>
          <w:i w:val="0"/>
          <w:lang w:val="en-MY"/>
        </w:rPr>
        <w:t>fermentation</w:t>
      </w:r>
      <w:r w:rsidRPr="002522B8">
        <w:rPr>
          <w:i w:val="0"/>
          <w:lang w:val="en-MY"/>
        </w:rPr>
        <w:t xml:space="preserve">. </w:t>
      </w:r>
      <w:r>
        <w:rPr>
          <w:i w:val="0"/>
          <w:lang w:val="en-MY"/>
        </w:rPr>
        <w:t>O</w:t>
      </w:r>
      <w:r w:rsidRPr="002522B8">
        <w:rPr>
          <w:i w:val="0"/>
          <w:lang w:val="en-MY"/>
        </w:rPr>
        <w:t xml:space="preserve">ptimised milk kefir surpassing 8 </w:t>
      </w:r>
      <w:r>
        <w:rPr>
          <w:i w:val="0"/>
          <w:lang w:val="en-MY"/>
        </w:rPr>
        <w:t xml:space="preserve">h’s fermentation also showed </w:t>
      </w:r>
      <w:r w:rsidRPr="002522B8">
        <w:rPr>
          <w:i w:val="0"/>
          <w:lang w:val="en-MY"/>
        </w:rPr>
        <w:t xml:space="preserve">higher aerobic plate count, lactic acid bacteria count and yeast than the commercial sample. While yeast was not found in </w:t>
      </w:r>
      <w:r w:rsidRPr="00F55DD0">
        <w:rPr>
          <w:iCs/>
          <w:lang w:val="en-MY"/>
        </w:rPr>
        <w:t>tempeh</w:t>
      </w:r>
      <w:r w:rsidRPr="002522B8">
        <w:rPr>
          <w:i w:val="0"/>
          <w:lang w:val="en-MY"/>
        </w:rPr>
        <w:t xml:space="preserve">, </w:t>
      </w:r>
      <w:proofErr w:type="spellStart"/>
      <w:r w:rsidRPr="002522B8">
        <w:rPr>
          <w:i w:val="0"/>
          <w:lang w:val="en-MY"/>
        </w:rPr>
        <w:t>mold</w:t>
      </w:r>
      <w:proofErr w:type="spellEnd"/>
      <w:r w:rsidRPr="002522B8">
        <w:rPr>
          <w:i w:val="0"/>
          <w:lang w:val="en-MY"/>
        </w:rPr>
        <w:t xml:space="preserve"> was not detected in milk kefir.</w:t>
      </w:r>
    </w:p>
    <w:p w14:paraId="3FFAB105" w14:textId="77777777" w:rsidR="008517D2" w:rsidRPr="00644320" w:rsidRDefault="008517D2" w:rsidP="00644320">
      <w:pPr>
        <w:pStyle w:val="CETBodytext"/>
        <w:rPr>
          <w:lang w:val="en-MY"/>
        </w:rPr>
      </w:pPr>
    </w:p>
    <w:p w14:paraId="6A5167CF" w14:textId="2F1D9AC8" w:rsidR="00600535" w:rsidRPr="006A1FAD" w:rsidRDefault="00600535" w:rsidP="00600535">
      <w:pPr>
        <w:pStyle w:val="CETTabletitle"/>
      </w:pPr>
      <w:r w:rsidRPr="00B57B36">
        <w:lastRenderedPageBreak/>
        <w:t xml:space="preserve">Table 1: </w:t>
      </w:r>
      <w:bookmarkStart w:id="10" w:name="_Hlk191299465"/>
      <w:r w:rsidR="006A1FAD" w:rsidRPr="006A1FAD">
        <w:rPr>
          <w:lang w:val="en-MY"/>
        </w:rPr>
        <w:t xml:space="preserve">Response optimisation and desirability of </w:t>
      </w:r>
      <w:r w:rsidR="006A1FAD" w:rsidRPr="006A1FAD">
        <w:rPr>
          <w:iCs/>
          <w:lang w:val="en-MY"/>
        </w:rPr>
        <w:t>tempeh</w:t>
      </w:r>
      <w:bookmarkEnd w:id="10"/>
      <w:r w:rsidR="002522B8">
        <w:rPr>
          <w:iCs/>
          <w:lang w:val="en-MY"/>
        </w:rPr>
        <w:t xml:space="preserve"> and milk kefir</w:t>
      </w:r>
    </w:p>
    <w:tbl>
      <w:tblPr>
        <w:tblW w:w="8160"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410"/>
        <w:gridCol w:w="851"/>
        <w:gridCol w:w="708"/>
        <w:gridCol w:w="993"/>
        <w:gridCol w:w="1305"/>
        <w:gridCol w:w="1012"/>
        <w:gridCol w:w="881"/>
      </w:tblGrid>
      <w:tr w:rsidR="00776F2D" w:rsidRPr="00776F2D" w14:paraId="5D63B18B" w14:textId="77777777" w:rsidTr="00776F2D">
        <w:trPr>
          <w:trHeight w:val="213"/>
        </w:trPr>
        <w:tc>
          <w:tcPr>
            <w:tcW w:w="2410" w:type="dxa"/>
            <w:vMerge w:val="restart"/>
            <w:tcBorders>
              <w:top w:val="single" w:sz="12" w:space="0" w:color="008000"/>
            </w:tcBorders>
            <w:shd w:val="clear" w:color="auto" w:fill="FFFFFF"/>
            <w:vAlign w:val="center"/>
          </w:tcPr>
          <w:p w14:paraId="72DC16A1" w14:textId="7DE38E11" w:rsidR="00776F2D" w:rsidRPr="0036761C" w:rsidRDefault="00776F2D" w:rsidP="00C7359F">
            <w:pPr>
              <w:pStyle w:val="CETBodytext"/>
              <w:rPr>
                <w:i/>
                <w:iCs/>
                <w:lang w:val="en-MY"/>
              </w:rPr>
            </w:pPr>
            <w:r>
              <w:rPr>
                <w:lang w:val="en-MY"/>
              </w:rPr>
              <w:t>R</w:t>
            </w:r>
            <w:r w:rsidRPr="006A1FAD">
              <w:rPr>
                <w:lang w:val="en-MY"/>
              </w:rPr>
              <w:t>esponse</w:t>
            </w:r>
          </w:p>
        </w:tc>
        <w:tc>
          <w:tcPr>
            <w:tcW w:w="851" w:type="dxa"/>
            <w:vMerge w:val="restart"/>
            <w:tcBorders>
              <w:top w:val="single" w:sz="12" w:space="0" w:color="008000"/>
            </w:tcBorders>
            <w:shd w:val="clear" w:color="auto" w:fill="FFFFFF"/>
            <w:vAlign w:val="center"/>
          </w:tcPr>
          <w:p w14:paraId="005D237D" w14:textId="7F5869E6" w:rsidR="00776F2D" w:rsidRPr="0036761C" w:rsidRDefault="00776F2D" w:rsidP="00776F2D">
            <w:pPr>
              <w:pStyle w:val="CETBodytext"/>
              <w:rPr>
                <w:i/>
                <w:iCs/>
                <w:lang w:val="en-MY"/>
              </w:rPr>
            </w:pPr>
            <w:r w:rsidRPr="006A1FAD">
              <w:rPr>
                <w:lang w:val="en-MY"/>
              </w:rPr>
              <w:t>Goal</w:t>
            </w:r>
          </w:p>
        </w:tc>
        <w:tc>
          <w:tcPr>
            <w:tcW w:w="708" w:type="dxa"/>
            <w:vMerge w:val="restart"/>
            <w:tcBorders>
              <w:top w:val="single" w:sz="12" w:space="0" w:color="008000"/>
            </w:tcBorders>
            <w:shd w:val="clear" w:color="auto" w:fill="FFFFFF"/>
            <w:vAlign w:val="center"/>
          </w:tcPr>
          <w:p w14:paraId="102735C6" w14:textId="2B4D9CDC" w:rsidR="00776F2D" w:rsidRPr="0036761C" w:rsidRDefault="00776F2D" w:rsidP="00776F2D">
            <w:pPr>
              <w:pStyle w:val="CETBodytext"/>
              <w:spacing w:line="240" w:lineRule="auto"/>
              <w:rPr>
                <w:i/>
                <w:iCs/>
                <w:lang w:val="en-MY"/>
              </w:rPr>
            </w:pPr>
            <w:r>
              <w:rPr>
                <w:lang w:val="en-MY"/>
              </w:rPr>
              <w:t>Target</w:t>
            </w:r>
          </w:p>
        </w:tc>
        <w:tc>
          <w:tcPr>
            <w:tcW w:w="2298" w:type="dxa"/>
            <w:gridSpan w:val="2"/>
            <w:tcBorders>
              <w:top w:val="single" w:sz="12" w:space="0" w:color="008000"/>
              <w:bottom w:val="single" w:sz="4" w:space="0" w:color="008000"/>
            </w:tcBorders>
            <w:shd w:val="clear" w:color="auto" w:fill="FFFFFF"/>
          </w:tcPr>
          <w:p w14:paraId="7136A24A" w14:textId="336EAC2A" w:rsidR="00776F2D" w:rsidRPr="0036761C" w:rsidRDefault="00776F2D" w:rsidP="00C7359F">
            <w:pPr>
              <w:pStyle w:val="CETBodytext"/>
              <w:rPr>
                <w:i/>
                <w:iCs/>
                <w:lang w:val="en-MY"/>
              </w:rPr>
            </w:pPr>
            <w:r>
              <w:rPr>
                <w:lang w:val="en-MY"/>
              </w:rPr>
              <w:t>Results</w:t>
            </w:r>
          </w:p>
        </w:tc>
        <w:tc>
          <w:tcPr>
            <w:tcW w:w="1012" w:type="dxa"/>
            <w:vMerge w:val="restart"/>
            <w:tcBorders>
              <w:top w:val="single" w:sz="12" w:space="0" w:color="008000"/>
            </w:tcBorders>
            <w:shd w:val="clear" w:color="auto" w:fill="FFFFFF"/>
            <w:vAlign w:val="center"/>
          </w:tcPr>
          <w:p w14:paraId="57FCEB3D" w14:textId="0B267A21" w:rsidR="00776F2D" w:rsidRPr="0036761C" w:rsidRDefault="00776F2D" w:rsidP="00776F2D">
            <w:pPr>
              <w:pStyle w:val="CETBodytext"/>
              <w:rPr>
                <w:i/>
                <w:iCs/>
                <w:lang w:val="en-MY"/>
              </w:rPr>
            </w:pPr>
            <w:r w:rsidRPr="006A1FAD">
              <w:rPr>
                <w:lang w:val="en-MY"/>
              </w:rPr>
              <w:t>Error</w:t>
            </w:r>
            <w:r>
              <w:rPr>
                <w:lang w:val="en-MY"/>
              </w:rPr>
              <w:t xml:space="preserve"> </w:t>
            </w:r>
            <w:r w:rsidRPr="006A1FAD">
              <w:rPr>
                <w:lang w:val="en-MY"/>
              </w:rPr>
              <w:t>(%)</w:t>
            </w:r>
          </w:p>
        </w:tc>
        <w:tc>
          <w:tcPr>
            <w:tcW w:w="881" w:type="dxa"/>
            <w:vMerge w:val="restart"/>
            <w:tcBorders>
              <w:top w:val="single" w:sz="12" w:space="0" w:color="008000"/>
            </w:tcBorders>
            <w:shd w:val="clear" w:color="auto" w:fill="FFFFFF"/>
            <w:vAlign w:val="center"/>
          </w:tcPr>
          <w:p w14:paraId="1CD974D4" w14:textId="1DCE2993" w:rsidR="00776F2D" w:rsidRPr="00776F2D" w:rsidRDefault="00776F2D" w:rsidP="00776F2D">
            <w:pPr>
              <w:pStyle w:val="CETBodytext"/>
              <w:rPr>
                <w:lang w:val="en-MY"/>
              </w:rPr>
            </w:pPr>
            <w:r w:rsidRPr="006A1FAD">
              <w:rPr>
                <w:lang w:val="en-MY"/>
              </w:rPr>
              <w:t>Desirability</w:t>
            </w:r>
          </w:p>
        </w:tc>
      </w:tr>
      <w:tr w:rsidR="00776F2D" w:rsidRPr="00776F2D" w14:paraId="53856A7F" w14:textId="77777777" w:rsidTr="00776F2D">
        <w:trPr>
          <w:trHeight w:val="213"/>
        </w:trPr>
        <w:tc>
          <w:tcPr>
            <w:tcW w:w="2410" w:type="dxa"/>
            <w:vMerge/>
            <w:tcBorders>
              <w:bottom w:val="single" w:sz="4" w:space="0" w:color="008000"/>
            </w:tcBorders>
            <w:shd w:val="clear" w:color="auto" w:fill="FFFFFF"/>
          </w:tcPr>
          <w:p w14:paraId="0FEFC747" w14:textId="0DE6EEEB" w:rsidR="00776F2D" w:rsidRPr="006A1FAD" w:rsidRDefault="00776F2D" w:rsidP="00776F2D">
            <w:pPr>
              <w:pStyle w:val="CETBodytext"/>
              <w:spacing w:line="240" w:lineRule="auto"/>
              <w:rPr>
                <w:lang w:val="en-MY"/>
              </w:rPr>
            </w:pPr>
          </w:p>
        </w:tc>
        <w:tc>
          <w:tcPr>
            <w:tcW w:w="851" w:type="dxa"/>
            <w:vMerge/>
            <w:tcBorders>
              <w:bottom w:val="single" w:sz="4" w:space="0" w:color="008000"/>
            </w:tcBorders>
            <w:shd w:val="clear" w:color="auto" w:fill="FFFFFF"/>
          </w:tcPr>
          <w:p w14:paraId="7CBCAA5C" w14:textId="01DAF174" w:rsidR="00776F2D" w:rsidRPr="006A1FAD" w:rsidRDefault="00776F2D" w:rsidP="00776F2D">
            <w:pPr>
              <w:pStyle w:val="CETBodytext"/>
              <w:spacing w:line="240" w:lineRule="auto"/>
              <w:rPr>
                <w:lang w:val="en-MY"/>
              </w:rPr>
            </w:pPr>
          </w:p>
        </w:tc>
        <w:tc>
          <w:tcPr>
            <w:tcW w:w="708" w:type="dxa"/>
            <w:vMerge/>
            <w:tcBorders>
              <w:bottom w:val="single" w:sz="4" w:space="0" w:color="008000"/>
            </w:tcBorders>
            <w:shd w:val="clear" w:color="auto" w:fill="FFFFFF"/>
          </w:tcPr>
          <w:p w14:paraId="6CE074C5" w14:textId="37AAB77A" w:rsidR="00776F2D" w:rsidRDefault="00776F2D" w:rsidP="00776F2D">
            <w:pPr>
              <w:pStyle w:val="CETBodytext"/>
              <w:spacing w:line="240" w:lineRule="auto"/>
              <w:rPr>
                <w:lang w:val="en-GB"/>
              </w:rPr>
            </w:pPr>
          </w:p>
        </w:tc>
        <w:tc>
          <w:tcPr>
            <w:tcW w:w="993" w:type="dxa"/>
            <w:tcBorders>
              <w:top w:val="single" w:sz="4" w:space="0" w:color="008000"/>
              <w:bottom w:val="single" w:sz="4" w:space="0" w:color="008000"/>
            </w:tcBorders>
            <w:shd w:val="clear" w:color="auto" w:fill="FFFFFF"/>
          </w:tcPr>
          <w:p w14:paraId="79EC9263" w14:textId="5B0CD329" w:rsidR="00776F2D" w:rsidRPr="006A1FAD" w:rsidRDefault="00776F2D" w:rsidP="00776F2D">
            <w:pPr>
              <w:pStyle w:val="CETBodytext"/>
              <w:spacing w:line="240" w:lineRule="auto"/>
              <w:rPr>
                <w:lang w:val="en-MY"/>
              </w:rPr>
            </w:pPr>
            <w:r w:rsidRPr="006A1FAD">
              <w:rPr>
                <w:lang w:val="en-MY"/>
              </w:rPr>
              <w:t xml:space="preserve">Predicted  </w:t>
            </w:r>
          </w:p>
        </w:tc>
        <w:tc>
          <w:tcPr>
            <w:tcW w:w="1305" w:type="dxa"/>
            <w:tcBorders>
              <w:top w:val="single" w:sz="4" w:space="0" w:color="008000"/>
              <w:bottom w:val="single" w:sz="4" w:space="0" w:color="008000"/>
            </w:tcBorders>
            <w:shd w:val="clear" w:color="auto" w:fill="FFFFFF"/>
          </w:tcPr>
          <w:p w14:paraId="03B8E4AB" w14:textId="2D82CC5E" w:rsidR="00776F2D" w:rsidRPr="006A1FAD" w:rsidRDefault="00776F2D" w:rsidP="00776F2D">
            <w:pPr>
              <w:pStyle w:val="CETBodytext"/>
              <w:spacing w:line="240" w:lineRule="auto"/>
              <w:ind w:right="-1"/>
              <w:rPr>
                <w:lang w:val="en-MY"/>
              </w:rPr>
            </w:pPr>
            <w:r w:rsidRPr="006A1FAD">
              <w:rPr>
                <w:lang w:val="en-MY"/>
              </w:rPr>
              <w:t xml:space="preserve">Experimental </w:t>
            </w:r>
          </w:p>
        </w:tc>
        <w:tc>
          <w:tcPr>
            <w:tcW w:w="1012" w:type="dxa"/>
            <w:vMerge/>
            <w:tcBorders>
              <w:bottom w:val="single" w:sz="4" w:space="0" w:color="008000"/>
            </w:tcBorders>
            <w:shd w:val="clear" w:color="auto" w:fill="FFFFFF"/>
          </w:tcPr>
          <w:p w14:paraId="67291B9B" w14:textId="78498F80" w:rsidR="00776F2D" w:rsidRPr="006A1FAD" w:rsidRDefault="00776F2D" w:rsidP="00776F2D">
            <w:pPr>
              <w:pStyle w:val="CETBodytext"/>
              <w:spacing w:line="240" w:lineRule="auto"/>
              <w:ind w:right="-1"/>
              <w:rPr>
                <w:lang w:val="en-MY"/>
              </w:rPr>
            </w:pPr>
          </w:p>
        </w:tc>
        <w:tc>
          <w:tcPr>
            <w:tcW w:w="881" w:type="dxa"/>
            <w:vMerge/>
            <w:tcBorders>
              <w:bottom w:val="single" w:sz="4" w:space="0" w:color="008000"/>
            </w:tcBorders>
            <w:shd w:val="clear" w:color="auto" w:fill="FFFFFF"/>
            <w:vAlign w:val="center"/>
          </w:tcPr>
          <w:p w14:paraId="2F14FEF3" w14:textId="245577D9" w:rsidR="00776F2D" w:rsidRPr="006A1FAD" w:rsidRDefault="00776F2D" w:rsidP="00776F2D">
            <w:pPr>
              <w:pStyle w:val="CETBodytext"/>
              <w:rPr>
                <w:lang w:val="en-MY"/>
              </w:rPr>
            </w:pPr>
          </w:p>
        </w:tc>
      </w:tr>
      <w:tr w:rsidR="00776F2D" w:rsidRPr="00B57B36" w14:paraId="78EA9AAC" w14:textId="77777777" w:rsidTr="00776F2D">
        <w:trPr>
          <w:trHeight w:val="213"/>
        </w:trPr>
        <w:tc>
          <w:tcPr>
            <w:tcW w:w="2410" w:type="dxa"/>
            <w:tcBorders>
              <w:top w:val="single" w:sz="4" w:space="0" w:color="008000"/>
              <w:bottom w:val="single" w:sz="4" w:space="0" w:color="008000"/>
            </w:tcBorders>
            <w:shd w:val="clear" w:color="auto" w:fill="FFFFFF"/>
          </w:tcPr>
          <w:p w14:paraId="70DAC7A8" w14:textId="7C4F7F48" w:rsidR="00776F2D" w:rsidRPr="006A1FAD" w:rsidRDefault="00776F2D" w:rsidP="00776F2D">
            <w:pPr>
              <w:pStyle w:val="CETBodytext"/>
              <w:spacing w:line="240" w:lineRule="auto"/>
              <w:rPr>
                <w:lang w:val="en-MY"/>
              </w:rPr>
            </w:pPr>
            <w:r>
              <w:rPr>
                <w:lang w:val="en-MY"/>
              </w:rPr>
              <w:t>Tempeh</w:t>
            </w:r>
          </w:p>
        </w:tc>
        <w:tc>
          <w:tcPr>
            <w:tcW w:w="851" w:type="dxa"/>
            <w:tcBorders>
              <w:top w:val="single" w:sz="4" w:space="0" w:color="008000"/>
              <w:bottom w:val="single" w:sz="4" w:space="0" w:color="008000"/>
            </w:tcBorders>
            <w:shd w:val="clear" w:color="auto" w:fill="FFFFFF"/>
          </w:tcPr>
          <w:p w14:paraId="142A61C2" w14:textId="77777777" w:rsidR="00776F2D" w:rsidRPr="006A1FAD" w:rsidRDefault="00776F2D" w:rsidP="00776F2D">
            <w:pPr>
              <w:pStyle w:val="CETBodytext"/>
              <w:spacing w:line="240" w:lineRule="auto"/>
              <w:rPr>
                <w:lang w:val="en-MY"/>
              </w:rPr>
            </w:pPr>
          </w:p>
        </w:tc>
        <w:tc>
          <w:tcPr>
            <w:tcW w:w="708" w:type="dxa"/>
            <w:tcBorders>
              <w:top w:val="single" w:sz="4" w:space="0" w:color="008000"/>
              <w:bottom w:val="single" w:sz="4" w:space="0" w:color="008000"/>
            </w:tcBorders>
            <w:shd w:val="clear" w:color="auto" w:fill="FFFFFF"/>
          </w:tcPr>
          <w:p w14:paraId="38F50E58" w14:textId="77777777" w:rsidR="00776F2D" w:rsidRDefault="00776F2D" w:rsidP="00776F2D">
            <w:pPr>
              <w:pStyle w:val="CETBodytext"/>
              <w:spacing w:line="240" w:lineRule="auto"/>
              <w:rPr>
                <w:lang w:val="en-GB"/>
              </w:rPr>
            </w:pPr>
          </w:p>
        </w:tc>
        <w:tc>
          <w:tcPr>
            <w:tcW w:w="993" w:type="dxa"/>
            <w:tcBorders>
              <w:top w:val="single" w:sz="4" w:space="0" w:color="008000"/>
              <w:bottom w:val="single" w:sz="4" w:space="0" w:color="008000"/>
            </w:tcBorders>
            <w:shd w:val="clear" w:color="auto" w:fill="FFFFFF"/>
          </w:tcPr>
          <w:p w14:paraId="2C3408A8" w14:textId="77777777" w:rsidR="00776F2D" w:rsidRPr="006A1FAD" w:rsidRDefault="00776F2D" w:rsidP="00776F2D">
            <w:pPr>
              <w:pStyle w:val="CETBodytext"/>
              <w:spacing w:line="240" w:lineRule="auto"/>
              <w:rPr>
                <w:lang w:val="en-MY"/>
              </w:rPr>
            </w:pPr>
          </w:p>
        </w:tc>
        <w:tc>
          <w:tcPr>
            <w:tcW w:w="1305" w:type="dxa"/>
            <w:tcBorders>
              <w:top w:val="single" w:sz="4" w:space="0" w:color="008000"/>
              <w:bottom w:val="single" w:sz="4" w:space="0" w:color="008000"/>
            </w:tcBorders>
            <w:shd w:val="clear" w:color="auto" w:fill="FFFFFF"/>
          </w:tcPr>
          <w:p w14:paraId="633CE1D5" w14:textId="77777777" w:rsidR="00776F2D" w:rsidRPr="006A1FAD" w:rsidRDefault="00776F2D" w:rsidP="00776F2D">
            <w:pPr>
              <w:pStyle w:val="CETBodytext"/>
              <w:spacing w:line="240" w:lineRule="auto"/>
              <w:ind w:right="-1"/>
              <w:rPr>
                <w:lang w:val="en-MY"/>
              </w:rPr>
            </w:pPr>
          </w:p>
        </w:tc>
        <w:tc>
          <w:tcPr>
            <w:tcW w:w="1012" w:type="dxa"/>
            <w:tcBorders>
              <w:top w:val="single" w:sz="4" w:space="0" w:color="008000"/>
              <w:bottom w:val="single" w:sz="4" w:space="0" w:color="008000"/>
            </w:tcBorders>
            <w:shd w:val="clear" w:color="auto" w:fill="FFFFFF"/>
          </w:tcPr>
          <w:p w14:paraId="31B08930" w14:textId="77777777" w:rsidR="00776F2D" w:rsidRPr="006A1FAD" w:rsidRDefault="00776F2D" w:rsidP="00776F2D">
            <w:pPr>
              <w:pStyle w:val="CETBodytext"/>
              <w:spacing w:line="240" w:lineRule="auto"/>
              <w:ind w:right="-1"/>
              <w:rPr>
                <w:lang w:val="en-MY"/>
              </w:rPr>
            </w:pPr>
          </w:p>
        </w:tc>
        <w:tc>
          <w:tcPr>
            <w:tcW w:w="881" w:type="dxa"/>
            <w:tcBorders>
              <w:top w:val="single" w:sz="4" w:space="0" w:color="008000"/>
              <w:bottom w:val="single" w:sz="4" w:space="0" w:color="008000"/>
            </w:tcBorders>
            <w:shd w:val="clear" w:color="auto" w:fill="FFFFFF"/>
          </w:tcPr>
          <w:p w14:paraId="5C8BC3FD" w14:textId="77777777" w:rsidR="00776F2D" w:rsidRPr="006A1FAD" w:rsidRDefault="00776F2D" w:rsidP="00776F2D">
            <w:pPr>
              <w:pStyle w:val="CETBodytext"/>
              <w:spacing w:line="240" w:lineRule="auto"/>
              <w:ind w:right="-1"/>
              <w:rPr>
                <w:lang w:val="en-MY"/>
              </w:rPr>
            </w:pPr>
          </w:p>
        </w:tc>
      </w:tr>
      <w:tr w:rsidR="00776F2D" w:rsidRPr="00B57B36" w14:paraId="18FA68DB" w14:textId="31A3CE9F" w:rsidTr="00776F2D">
        <w:trPr>
          <w:trHeight w:val="213"/>
        </w:trPr>
        <w:tc>
          <w:tcPr>
            <w:tcW w:w="2410" w:type="dxa"/>
            <w:tcBorders>
              <w:top w:val="single" w:sz="4" w:space="0" w:color="008000"/>
              <w:bottom w:val="nil"/>
            </w:tcBorders>
            <w:shd w:val="clear" w:color="auto" w:fill="FFFFFF"/>
          </w:tcPr>
          <w:p w14:paraId="1877D42D" w14:textId="0D42D65F" w:rsidR="00776F2D" w:rsidRPr="00B57B36" w:rsidRDefault="00776F2D" w:rsidP="00776F2D">
            <w:pPr>
              <w:pStyle w:val="CETBodytext"/>
              <w:spacing w:line="240" w:lineRule="auto"/>
              <w:rPr>
                <w:lang w:val="en-GB"/>
              </w:rPr>
            </w:pPr>
            <w:r w:rsidRPr="006A1FAD">
              <w:rPr>
                <w:lang w:val="en-MY"/>
              </w:rPr>
              <w:t>Hardness (g)</w:t>
            </w:r>
          </w:p>
        </w:tc>
        <w:tc>
          <w:tcPr>
            <w:tcW w:w="851" w:type="dxa"/>
            <w:tcBorders>
              <w:top w:val="single" w:sz="4" w:space="0" w:color="008000"/>
              <w:bottom w:val="nil"/>
            </w:tcBorders>
            <w:shd w:val="clear" w:color="auto" w:fill="FFFFFF"/>
          </w:tcPr>
          <w:p w14:paraId="6F0AE50F" w14:textId="0568731B" w:rsidR="00776F2D" w:rsidRPr="006A1FAD" w:rsidRDefault="00776F2D" w:rsidP="00776F2D">
            <w:pPr>
              <w:pStyle w:val="CETBodytext"/>
              <w:spacing w:line="240" w:lineRule="auto"/>
              <w:rPr>
                <w:lang w:val="en-MY"/>
              </w:rPr>
            </w:pPr>
            <w:r w:rsidRPr="006A1FAD">
              <w:rPr>
                <w:lang w:val="en-MY"/>
              </w:rPr>
              <w:t>Maximum</w:t>
            </w:r>
          </w:p>
        </w:tc>
        <w:tc>
          <w:tcPr>
            <w:tcW w:w="708" w:type="dxa"/>
            <w:tcBorders>
              <w:top w:val="single" w:sz="4" w:space="0" w:color="008000"/>
              <w:bottom w:val="nil"/>
            </w:tcBorders>
            <w:shd w:val="clear" w:color="auto" w:fill="FFFFFF"/>
          </w:tcPr>
          <w:p w14:paraId="48136FAE" w14:textId="33DB0830" w:rsidR="00776F2D" w:rsidRPr="00B57B36" w:rsidRDefault="00776F2D" w:rsidP="00776F2D">
            <w:pPr>
              <w:pStyle w:val="CETBodytext"/>
              <w:spacing w:line="240" w:lineRule="auto"/>
              <w:jc w:val="left"/>
              <w:rPr>
                <w:lang w:val="en-GB"/>
              </w:rPr>
            </w:pPr>
            <w:r>
              <w:rPr>
                <w:lang w:val="en-GB"/>
              </w:rPr>
              <w:t>-</w:t>
            </w:r>
          </w:p>
        </w:tc>
        <w:tc>
          <w:tcPr>
            <w:tcW w:w="993" w:type="dxa"/>
            <w:tcBorders>
              <w:top w:val="single" w:sz="4" w:space="0" w:color="008000"/>
              <w:bottom w:val="nil"/>
            </w:tcBorders>
            <w:shd w:val="clear" w:color="auto" w:fill="FFFFFF"/>
          </w:tcPr>
          <w:p w14:paraId="2CB03BEE" w14:textId="5FDF09B8" w:rsidR="00776F2D" w:rsidRPr="00B57B36" w:rsidRDefault="00776F2D" w:rsidP="00776F2D">
            <w:pPr>
              <w:pStyle w:val="CETBodytext"/>
              <w:spacing w:line="240" w:lineRule="auto"/>
              <w:rPr>
                <w:lang w:val="en-GB"/>
              </w:rPr>
            </w:pPr>
            <w:r w:rsidRPr="006A1FAD">
              <w:rPr>
                <w:lang w:val="en-MY"/>
              </w:rPr>
              <w:t>1426.93</w:t>
            </w:r>
          </w:p>
        </w:tc>
        <w:tc>
          <w:tcPr>
            <w:tcW w:w="1305" w:type="dxa"/>
            <w:tcBorders>
              <w:top w:val="single" w:sz="4" w:space="0" w:color="008000"/>
              <w:bottom w:val="nil"/>
            </w:tcBorders>
            <w:shd w:val="clear" w:color="auto" w:fill="FFFFFF"/>
          </w:tcPr>
          <w:p w14:paraId="7FF7EB81" w14:textId="0A84B056" w:rsidR="00776F2D" w:rsidRPr="00B57B36" w:rsidRDefault="00776F2D" w:rsidP="00776F2D">
            <w:pPr>
              <w:pStyle w:val="CETBodytext"/>
              <w:spacing w:line="240" w:lineRule="auto"/>
              <w:ind w:right="-1"/>
              <w:rPr>
                <w:rFonts w:cs="Arial"/>
                <w:szCs w:val="18"/>
                <w:lang w:val="en-GB"/>
              </w:rPr>
            </w:pPr>
            <w:r w:rsidRPr="006A1FAD">
              <w:rPr>
                <w:lang w:val="en-MY"/>
              </w:rPr>
              <w:t>1296.57</w:t>
            </w:r>
          </w:p>
        </w:tc>
        <w:tc>
          <w:tcPr>
            <w:tcW w:w="1012" w:type="dxa"/>
            <w:tcBorders>
              <w:top w:val="single" w:sz="4" w:space="0" w:color="008000"/>
              <w:bottom w:val="nil"/>
            </w:tcBorders>
            <w:shd w:val="clear" w:color="auto" w:fill="FFFFFF"/>
          </w:tcPr>
          <w:p w14:paraId="27AD1ECC" w14:textId="5122DF71" w:rsidR="00776F2D" w:rsidRPr="006A1FAD" w:rsidRDefault="00776F2D" w:rsidP="00776F2D">
            <w:pPr>
              <w:pStyle w:val="CETBodytext"/>
              <w:spacing w:line="240" w:lineRule="auto"/>
              <w:ind w:right="-1"/>
              <w:rPr>
                <w:lang w:val="en-MY"/>
              </w:rPr>
            </w:pPr>
            <w:r>
              <w:rPr>
                <w:lang w:val="en-MY"/>
              </w:rPr>
              <w:t xml:space="preserve">  </w:t>
            </w:r>
            <w:r w:rsidRPr="006A1FAD">
              <w:rPr>
                <w:lang w:val="en-MY"/>
              </w:rPr>
              <w:t>9.14</w:t>
            </w:r>
          </w:p>
        </w:tc>
        <w:tc>
          <w:tcPr>
            <w:tcW w:w="881" w:type="dxa"/>
            <w:tcBorders>
              <w:top w:val="single" w:sz="4" w:space="0" w:color="008000"/>
              <w:bottom w:val="nil"/>
            </w:tcBorders>
            <w:shd w:val="clear" w:color="auto" w:fill="FFFFFF"/>
          </w:tcPr>
          <w:p w14:paraId="5CC54E9D" w14:textId="51CD93F8" w:rsidR="00776F2D" w:rsidRPr="006A1FAD" w:rsidRDefault="00776F2D" w:rsidP="00776F2D">
            <w:pPr>
              <w:pStyle w:val="CETBodytext"/>
              <w:spacing w:line="240" w:lineRule="auto"/>
              <w:ind w:right="-1"/>
              <w:rPr>
                <w:lang w:val="en-MY"/>
              </w:rPr>
            </w:pPr>
            <w:r w:rsidRPr="006A1FAD">
              <w:rPr>
                <w:lang w:val="en-MY"/>
              </w:rPr>
              <w:t>0.94</w:t>
            </w:r>
            <w:r w:rsidR="00614991">
              <w:rPr>
                <w:lang w:val="en-MY"/>
              </w:rPr>
              <w:t>26</w:t>
            </w:r>
          </w:p>
        </w:tc>
      </w:tr>
      <w:tr w:rsidR="00776F2D" w:rsidRPr="006A1FAD" w14:paraId="1777C522" w14:textId="2174C85F" w:rsidTr="00776F2D">
        <w:trPr>
          <w:trHeight w:val="60"/>
        </w:trPr>
        <w:tc>
          <w:tcPr>
            <w:tcW w:w="2410" w:type="dxa"/>
            <w:tcBorders>
              <w:top w:val="nil"/>
            </w:tcBorders>
            <w:shd w:val="clear" w:color="auto" w:fill="FFFFFF"/>
          </w:tcPr>
          <w:p w14:paraId="59954EC2" w14:textId="297243B4" w:rsidR="00776F2D" w:rsidRPr="006A1FAD" w:rsidRDefault="00776F2D" w:rsidP="00776F2D">
            <w:pPr>
              <w:pStyle w:val="CETBodytext"/>
              <w:spacing w:line="240" w:lineRule="auto"/>
              <w:ind w:right="-1"/>
              <w:rPr>
                <w:lang w:val="en-MY"/>
              </w:rPr>
            </w:pPr>
            <w:r w:rsidRPr="006A1FAD">
              <w:rPr>
                <w:lang w:val="en-MY"/>
              </w:rPr>
              <w:t>Springiness (mm)</w:t>
            </w:r>
          </w:p>
        </w:tc>
        <w:tc>
          <w:tcPr>
            <w:tcW w:w="851" w:type="dxa"/>
            <w:tcBorders>
              <w:top w:val="nil"/>
            </w:tcBorders>
            <w:shd w:val="clear" w:color="auto" w:fill="FFFFFF"/>
          </w:tcPr>
          <w:p w14:paraId="46D9BD50" w14:textId="13149892" w:rsidR="00776F2D" w:rsidRPr="006A1FAD" w:rsidRDefault="00776F2D" w:rsidP="00776F2D">
            <w:pPr>
              <w:pStyle w:val="CETBodytext"/>
              <w:spacing w:line="240" w:lineRule="auto"/>
              <w:ind w:right="-1"/>
              <w:rPr>
                <w:lang w:val="en-MY"/>
              </w:rPr>
            </w:pPr>
            <w:r w:rsidRPr="006A1FAD">
              <w:rPr>
                <w:lang w:val="en-MY"/>
              </w:rPr>
              <w:t>Maximum</w:t>
            </w:r>
          </w:p>
        </w:tc>
        <w:tc>
          <w:tcPr>
            <w:tcW w:w="708" w:type="dxa"/>
            <w:tcBorders>
              <w:top w:val="nil"/>
            </w:tcBorders>
            <w:shd w:val="clear" w:color="auto" w:fill="FFFFFF"/>
          </w:tcPr>
          <w:p w14:paraId="4FFB40F7" w14:textId="4DC90923" w:rsidR="00776F2D" w:rsidRPr="006A1FAD" w:rsidRDefault="00776F2D" w:rsidP="00776F2D">
            <w:pPr>
              <w:pStyle w:val="CETBodytext"/>
              <w:spacing w:line="240" w:lineRule="auto"/>
              <w:ind w:right="-1"/>
              <w:jc w:val="left"/>
              <w:rPr>
                <w:lang w:val="en-MY"/>
              </w:rPr>
            </w:pPr>
            <w:r>
              <w:rPr>
                <w:lang w:val="en-MY"/>
              </w:rPr>
              <w:t>-</w:t>
            </w:r>
          </w:p>
        </w:tc>
        <w:tc>
          <w:tcPr>
            <w:tcW w:w="993" w:type="dxa"/>
            <w:tcBorders>
              <w:top w:val="nil"/>
            </w:tcBorders>
            <w:shd w:val="clear" w:color="auto" w:fill="FFFFFF"/>
          </w:tcPr>
          <w:p w14:paraId="74F8316C" w14:textId="410D9925" w:rsidR="00776F2D" w:rsidRPr="006A1FAD" w:rsidRDefault="00776F2D" w:rsidP="00776F2D">
            <w:pPr>
              <w:pStyle w:val="CETBodytext"/>
              <w:spacing w:line="240" w:lineRule="auto"/>
              <w:ind w:right="-1"/>
              <w:rPr>
                <w:lang w:val="en-MY"/>
              </w:rPr>
            </w:pPr>
            <w:r w:rsidRPr="006A1FAD">
              <w:rPr>
                <w:lang w:val="en-MY"/>
              </w:rPr>
              <w:t>0.390</w:t>
            </w:r>
          </w:p>
        </w:tc>
        <w:tc>
          <w:tcPr>
            <w:tcW w:w="1305" w:type="dxa"/>
            <w:tcBorders>
              <w:top w:val="nil"/>
            </w:tcBorders>
            <w:shd w:val="clear" w:color="auto" w:fill="FFFFFF"/>
          </w:tcPr>
          <w:p w14:paraId="708CF970" w14:textId="41B9031F" w:rsidR="00776F2D" w:rsidRPr="006A1FAD" w:rsidRDefault="00776F2D" w:rsidP="00776F2D">
            <w:pPr>
              <w:pStyle w:val="CETBodytext"/>
              <w:spacing w:line="240" w:lineRule="auto"/>
              <w:ind w:right="-1"/>
              <w:rPr>
                <w:lang w:val="en-MY"/>
              </w:rPr>
            </w:pPr>
            <w:r w:rsidRPr="006A1FAD">
              <w:rPr>
                <w:lang w:val="en-MY"/>
              </w:rPr>
              <w:t>0.506</w:t>
            </w:r>
          </w:p>
        </w:tc>
        <w:tc>
          <w:tcPr>
            <w:tcW w:w="1012" w:type="dxa"/>
            <w:tcBorders>
              <w:top w:val="nil"/>
            </w:tcBorders>
            <w:shd w:val="clear" w:color="auto" w:fill="FFFFFF"/>
          </w:tcPr>
          <w:p w14:paraId="43B50B68" w14:textId="6F056AAA" w:rsidR="00776F2D" w:rsidRPr="006A1FAD" w:rsidRDefault="00776F2D" w:rsidP="00776F2D">
            <w:pPr>
              <w:pStyle w:val="CETBodytext"/>
              <w:spacing w:line="240" w:lineRule="auto"/>
              <w:ind w:right="-1"/>
              <w:rPr>
                <w:lang w:val="en-MY"/>
              </w:rPr>
            </w:pPr>
            <w:r w:rsidRPr="006A1FAD">
              <w:rPr>
                <w:lang w:val="en-MY"/>
              </w:rPr>
              <w:t>29.74</w:t>
            </w:r>
          </w:p>
        </w:tc>
        <w:tc>
          <w:tcPr>
            <w:tcW w:w="881" w:type="dxa"/>
            <w:tcBorders>
              <w:top w:val="nil"/>
            </w:tcBorders>
            <w:shd w:val="clear" w:color="auto" w:fill="FFFFFF"/>
          </w:tcPr>
          <w:p w14:paraId="10C3C572" w14:textId="136075A0" w:rsidR="00776F2D" w:rsidRPr="006A1FAD" w:rsidRDefault="00776F2D" w:rsidP="00776F2D">
            <w:pPr>
              <w:pStyle w:val="CETBodytext"/>
              <w:spacing w:line="240" w:lineRule="auto"/>
              <w:ind w:right="-1"/>
              <w:rPr>
                <w:lang w:val="en-MY"/>
              </w:rPr>
            </w:pPr>
            <w:r w:rsidRPr="006A1FAD">
              <w:rPr>
                <w:lang w:val="en-MY"/>
              </w:rPr>
              <w:t>0.9</w:t>
            </w:r>
            <w:r w:rsidR="00614991">
              <w:rPr>
                <w:lang w:val="en-MY"/>
              </w:rPr>
              <w:t>475</w:t>
            </w:r>
          </w:p>
        </w:tc>
      </w:tr>
      <w:tr w:rsidR="00776F2D" w:rsidRPr="006A1FAD" w14:paraId="30796E61" w14:textId="77777777" w:rsidTr="00776F2D">
        <w:tc>
          <w:tcPr>
            <w:tcW w:w="2410" w:type="dxa"/>
            <w:shd w:val="clear" w:color="auto" w:fill="FFFFFF"/>
          </w:tcPr>
          <w:p w14:paraId="6A8CED23" w14:textId="3D8C5E9F" w:rsidR="00776F2D" w:rsidRPr="006A1FAD" w:rsidRDefault="00776F2D" w:rsidP="00776F2D">
            <w:pPr>
              <w:pStyle w:val="CETBodytext"/>
              <w:spacing w:line="240" w:lineRule="auto"/>
              <w:rPr>
                <w:lang w:val="en-MY"/>
              </w:rPr>
            </w:pPr>
            <w:r w:rsidRPr="006A1FAD">
              <w:rPr>
                <w:lang w:val="en-MY"/>
              </w:rPr>
              <w:t>Cohesiveness</w:t>
            </w:r>
          </w:p>
        </w:tc>
        <w:tc>
          <w:tcPr>
            <w:tcW w:w="851" w:type="dxa"/>
            <w:shd w:val="clear" w:color="auto" w:fill="FFFFFF"/>
          </w:tcPr>
          <w:p w14:paraId="056F4A00" w14:textId="182DD0A3" w:rsidR="00776F2D" w:rsidRPr="006A1FAD" w:rsidRDefault="00776F2D" w:rsidP="00776F2D">
            <w:pPr>
              <w:pStyle w:val="CETBodytext"/>
              <w:spacing w:line="240" w:lineRule="auto"/>
              <w:rPr>
                <w:lang w:val="en-MY"/>
              </w:rPr>
            </w:pPr>
            <w:r w:rsidRPr="006A1FAD">
              <w:rPr>
                <w:lang w:val="en-MY"/>
              </w:rPr>
              <w:t>Maximum</w:t>
            </w:r>
          </w:p>
        </w:tc>
        <w:tc>
          <w:tcPr>
            <w:tcW w:w="708" w:type="dxa"/>
            <w:shd w:val="clear" w:color="auto" w:fill="FFFFFF"/>
          </w:tcPr>
          <w:p w14:paraId="3B7240D7" w14:textId="74D5EBEE" w:rsidR="00776F2D" w:rsidRPr="006A1FAD" w:rsidRDefault="00776F2D" w:rsidP="00776F2D">
            <w:pPr>
              <w:pStyle w:val="CETBodytext"/>
              <w:spacing w:line="240" w:lineRule="auto"/>
              <w:jc w:val="left"/>
              <w:rPr>
                <w:lang w:val="en-MY"/>
              </w:rPr>
            </w:pPr>
            <w:r>
              <w:rPr>
                <w:lang w:val="en-MY"/>
              </w:rPr>
              <w:t>-</w:t>
            </w:r>
          </w:p>
        </w:tc>
        <w:tc>
          <w:tcPr>
            <w:tcW w:w="993" w:type="dxa"/>
            <w:shd w:val="clear" w:color="auto" w:fill="FFFFFF"/>
          </w:tcPr>
          <w:p w14:paraId="292E4BE1" w14:textId="0110DD7D" w:rsidR="00776F2D" w:rsidRPr="006A1FAD" w:rsidRDefault="00776F2D" w:rsidP="00776F2D">
            <w:pPr>
              <w:pStyle w:val="CETBodytext"/>
              <w:spacing w:line="240" w:lineRule="auto"/>
              <w:rPr>
                <w:lang w:val="en-MY"/>
              </w:rPr>
            </w:pPr>
            <w:r w:rsidRPr="006A1FAD">
              <w:rPr>
                <w:lang w:val="en-MY"/>
              </w:rPr>
              <w:t>0.225</w:t>
            </w:r>
          </w:p>
        </w:tc>
        <w:tc>
          <w:tcPr>
            <w:tcW w:w="1305" w:type="dxa"/>
            <w:shd w:val="clear" w:color="auto" w:fill="FFFFFF"/>
          </w:tcPr>
          <w:p w14:paraId="7021AD0F" w14:textId="7F0DC7FE" w:rsidR="00776F2D" w:rsidRPr="006A1FAD" w:rsidRDefault="00776F2D" w:rsidP="00776F2D">
            <w:pPr>
              <w:pStyle w:val="CETBodytext"/>
              <w:spacing w:line="240" w:lineRule="auto"/>
              <w:rPr>
                <w:lang w:val="en-MY"/>
              </w:rPr>
            </w:pPr>
            <w:r w:rsidRPr="006A1FAD">
              <w:rPr>
                <w:lang w:val="en-MY"/>
              </w:rPr>
              <w:t>0.222</w:t>
            </w:r>
          </w:p>
        </w:tc>
        <w:tc>
          <w:tcPr>
            <w:tcW w:w="1012" w:type="dxa"/>
            <w:shd w:val="clear" w:color="auto" w:fill="FFFFFF"/>
          </w:tcPr>
          <w:p w14:paraId="3462B97F" w14:textId="2D3134B6" w:rsidR="00776F2D" w:rsidRPr="006A1FAD" w:rsidRDefault="00776F2D" w:rsidP="00776F2D">
            <w:pPr>
              <w:pStyle w:val="CETBodytext"/>
              <w:spacing w:line="240" w:lineRule="auto"/>
              <w:rPr>
                <w:lang w:val="en-MY"/>
              </w:rPr>
            </w:pPr>
            <w:r>
              <w:rPr>
                <w:lang w:val="en-MY"/>
              </w:rPr>
              <w:t xml:space="preserve">  </w:t>
            </w:r>
            <w:r w:rsidRPr="006A1FAD">
              <w:rPr>
                <w:lang w:val="en-MY"/>
              </w:rPr>
              <w:t>1.33</w:t>
            </w:r>
          </w:p>
        </w:tc>
        <w:tc>
          <w:tcPr>
            <w:tcW w:w="881" w:type="dxa"/>
            <w:shd w:val="clear" w:color="auto" w:fill="FFFFFF"/>
          </w:tcPr>
          <w:p w14:paraId="11862716" w14:textId="0DFB658B" w:rsidR="00776F2D" w:rsidRPr="006A1FAD" w:rsidRDefault="00776F2D" w:rsidP="00776F2D">
            <w:pPr>
              <w:pStyle w:val="CETBodytext"/>
              <w:spacing w:line="240" w:lineRule="auto"/>
              <w:rPr>
                <w:lang w:val="en-MY"/>
              </w:rPr>
            </w:pPr>
            <w:r w:rsidRPr="006A1FAD">
              <w:rPr>
                <w:lang w:val="en-MY"/>
              </w:rPr>
              <w:t>0.54</w:t>
            </w:r>
            <w:r w:rsidR="00614991">
              <w:rPr>
                <w:lang w:val="en-MY"/>
              </w:rPr>
              <w:t>29</w:t>
            </w:r>
          </w:p>
        </w:tc>
      </w:tr>
      <w:tr w:rsidR="00776F2D" w:rsidRPr="006A1FAD" w14:paraId="175528BC" w14:textId="77777777" w:rsidTr="00776F2D">
        <w:tc>
          <w:tcPr>
            <w:tcW w:w="2410" w:type="dxa"/>
            <w:shd w:val="clear" w:color="auto" w:fill="FFFFFF"/>
          </w:tcPr>
          <w:p w14:paraId="4BDAC4A3" w14:textId="5189B7C3" w:rsidR="00776F2D" w:rsidRPr="006A1FAD" w:rsidRDefault="00776F2D" w:rsidP="00776F2D">
            <w:pPr>
              <w:pStyle w:val="CETBodytext"/>
              <w:spacing w:line="240" w:lineRule="auto"/>
              <w:rPr>
                <w:lang w:val="en-MY"/>
              </w:rPr>
            </w:pPr>
            <w:r w:rsidRPr="00EE21C4">
              <w:rPr>
                <w:lang w:val="en-MY"/>
              </w:rPr>
              <w:t>Chewiness (g.mm)</w:t>
            </w:r>
          </w:p>
        </w:tc>
        <w:tc>
          <w:tcPr>
            <w:tcW w:w="851" w:type="dxa"/>
            <w:shd w:val="clear" w:color="auto" w:fill="FFFFFF"/>
          </w:tcPr>
          <w:p w14:paraId="77CC7E68" w14:textId="30A9CE83" w:rsidR="00776F2D" w:rsidRPr="00EE21C4" w:rsidRDefault="00776F2D" w:rsidP="00776F2D">
            <w:pPr>
              <w:pStyle w:val="CETBodytext"/>
              <w:spacing w:line="240" w:lineRule="auto"/>
              <w:rPr>
                <w:lang w:val="en-MY"/>
              </w:rPr>
            </w:pPr>
            <w:r w:rsidRPr="00EE21C4">
              <w:rPr>
                <w:lang w:val="en-MY"/>
              </w:rPr>
              <w:t>Maximum</w:t>
            </w:r>
          </w:p>
        </w:tc>
        <w:tc>
          <w:tcPr>
            <w:tcW w:w="708" w:type="dxa"/>
            <w:shd w:val="clear" w:color="auto" w:fill="FFFFFF"/>
          </w:tcPr>
          <w:p w14:paraId="22B681A6" w14:textId="34707156" w:rsidR="00776F2D" w:rsidRPr="006A1FAD" w:rsidRDefault="00776F2D" w:rsidP="00776F2D">
            <w:pPr>
              <w:pStyle w:val="CETBodytext"/>
              <w:spacing w:line="240" w:lineRule="auto"/>
              <w:jc w:val="left"/>
              <w:rPr>
                <w:lang w:val="en-MY"/>
              </w:rPr>
            </w:pPr>
            <w:r>
              <w:rPr>
                <w:lang w:val="en-MY"/>
              </w:rPr>
              <w:t>-</w:t>
            </w:r>
          </w:p>
        </w:tc>
        <w:tc>
          <w:tcPr>
            <w:tcW w:w="993" w:type="dxa"/>
            <w:shd w:val="clear" w:color="auto" w:fill="FFFFFF"/>
          </w:tcPr>
          <w:p w14:paraId="4E988E60" w14:textId="7120ABD9" w:rsidR="00776F2D" w:rsidRPr="006A1FAD" w:rsidRDefault="00776F2D" w:rsidP="00776F2D">
            <w:pPr>
              <w:pStyle w:val="CETBodytext"/>
              <w:spacing w:line="240" w:lineRule="auto"/>
              <w:rPr>
                <w:lang w:val="en-MY"/>
              </w:rPr>
            </w:pPr>
            <w:r w:rsidRPr="00EE21C4">
              <w:rPr>
                <w:lang w:val="en-MY"/>
              </w:rPr>
              <w:t>118.09</w:t>
            </w:r>
          </w:p>
        </w:tc>
        <w:tc>
          <w:tcPr>
            <w:tcW w:w="1305" w:type="dxa"/>
            <w:shd w:val="clear" w:color="auto" w:fill="FFFFFF"/>
          </w:tcPr>
          <w:p w14:paraId="4D9AE73E" w14:textId="0D6D944E" w:rsidR="00776F2D" w:rsidRPr="006A1FAD" w:rsidRDefault="00776F2D" w:rsidP="00776F2D">
            <w:pPr>
              <w:pStyle w:val="CETBodytext"/>
              <w:spacing w:line="240" w:lineRule="auto"/>
              <w:rPr>
                <w:lang w:val="en-MY"/>
              </w:rPr>
            </w:pPr>
            <w:r w:rsidRPr="00EE21C4">
              <w:rPr>
                <w:lang w:val="en-MY"/>
              </w:rPr>
              <w:t>145.38</w:t>
            </w:r>
          </w:p>
        </w:tc>
        <w:tc>
          <w:tcPr>
            <w:tcW w:w="1012" w:type="dxa"/>
            <w:shd w:val="clear" w:color="auto" w:fill="FFFFFF"/>
          </w:tcPr>
          <w:p w14:paraId="38B04FBF" w14:textId="6C9B9598" w:rsidR="00776F2D" w:rsidRPr="00EE21C4" w:rsidRDefault="00776F2D" w:rsidP="00776F2D">
            <w:pPr>
              <w:pStyle w:val="CETBodytext"/>
              <w:spacing w:line="240" w:lineRule="auto"/>
              <w:rPr>
                <w:lang w:val="en-MY"/>
              </w:rPr>
            </w:pPr>
            <w:r w:rsidRPr="00EE21C4">
              <w:rPr>
                <w:lang w:val="en-MY"/>
              </w:rPr>
              <w:t>23.11</w:t>
            </w:r>
          </w:p>
        </w:tc>
        <w:tc>
          <w:tcPr>
            <w:tcW w:w="881" w:type="dxa"/>
            <w:shd w:val="clear" w:color="auto" w:fill="FFFFFF"/>
          </w:tcPr>
          <w:p w14:paraId="347DDF90" w14:textId="327970AC" w:rsidR="00776F2D" w:rsidRPr="00EE21C4" w:rsidRDefault="00776F2D" w:rsidP="00776F2D">
            <w:pPr>
              <w:pStyle w:val="CETBodytext"/>
              <w:spacing w:line="240" w:lineRule="auto"/>
              <w:rPr>
                <w:lang w:val="en-MY"/>
              </w:rPr>
            </w:pPr>
            <w:r w:rsidRPr="00EE21C4">
              <w:rPr>
                <w:lang w:val="en-MY"/>
              </w:rPr>
              <w:t>0.95</w:t>
            </w:r>
            <w:r w:rsidR="00614991">
              <w:rPr>
                <w:lang w:val="en-MY"/>
              </w:rPr>
              <w:t>17</w:t>
            </w:r>
          </w:p>
        </w:tc>
      </w:tr>
      <w:tr w:rsidR="00776F2D" w:rsidRPr="006A1FAD" w14:paraId="255FA9B6" w14:textId="77777777" w:rsidTr="00776F2D">
        <w:tc>
          <w:tcPr>
            <w:tcW w:w="2410" w:type="dxa"/>
            <w:shd w:val="clear" w:color="auto" w:fill="FFFFFF"/>
          </w:tcPr>
          <w:p w14:paraId="79AA9A77" w14:textId="30B5C2DB" w:rsidR="00776F2D" w:rsidRPr="00EE21C4" w:rsidRDefault="00776F2D" w:rsidP="00776F2D">
            <w:pPr>
              <w:pStyle w:val="CETBodytext"/>
              <w:spacing w:line="240" w:lineRule="auto"/>
              <w:rPr>
                <w:lang w:val="en-MY"/>
              </w:rPr>
            </w:pPr>
            <w:r w:rsidRPr="00EE21C4">
              <w:rPr>
                <w:lang w:val="en-MY"/>
              </w:rPr>
              <w:t>Gumminess (g)</w:t>
            </w:r>
          </w:p>
        </w:tc>
        <w:tc>
          <w:tcPr>
            <w:tcW w:w="851" w:type="dxa"/>
            <w:shd w:val="clear" w:color="auto" w:fill="FFFFFF"/>
          </w:tcPr>
          <w:p w14:paraId="3EB4B3F2" w14:textId="7D64547F" w:rsidR="00776F2D" w:rsidRPr="00EE21C4" w:rsidRDefault="00776F2D" w:rsidP="00776F2D">
            <w:pPr>
              <w:pStyle w:val="CETBodytext"/>
              <w:spacing w:line="240" w:lineRule="auto"/>
              <w:rPr>
                <w:lang w:val="en-MY"/>
              </w:rPr>
            </w:pPr>
            <w:r w:rsidRPr="00EE21C4">
              <w:rPr>
                <w:lang w:val="en-MY"/>
              </w:rPr>
              <w:t>Maximum</w:t>
            </w:r>
          </w:p>
        </w:tc>
        <w:tc>
          <w:tcPr>
            <w:tcW w:w="708" w:type="dxa"/>
            <w:shd w:val="clear" w:color="auto" w:fill="FFFFFF"/>
          </w:tcPr>
          <w:p w14:paraId="20F4C1AA" w14:textId="58B8C01D" w:rsidR="00776F2D" w:rsidRPr="00EE21C4" w:rsidRDefault="00776F2D" w:rsidP="00776F2D">
            <w:pPr>
              <w:pStyle w:val="CETBodytext"/>
              <w:spacing w:line="240" w:lineRule="auto"/>
              <w:jc w:val="left"/>
              <w:rPr>
                <w:lang w:val="en-MY"/>
              </w:rPr>
            </w:pPr>
            <w:r>
              <w:rPr>
                <w:lang w:val="en-MY"/>
              </w:rPr>
              <w:t>-</w:t>
            </w:r>
          </w:p>
        </w:tc>
        <w:tc>
          <w:tcPr>
            <w:tcW w:w="993" w:type="dxa"/>
            <w:shd w:val="clear" w:color="auto" w:fill="FFFFFF"/>
          </w:tcPr>
          <w:p w14:paraId="68B6691A" w14:textId="6EF34C80" w:rsidR="00776F2D" w:rsidRPr="00EE21C4" w:rsidRDefault="00776F2D" w:rsidP="00776F2D">
            <w:pPr>
              <w:pStyle w:val="CETBodytext"/>
              <w:spacing w:line="240" w:lineRule="auto"/>
              <w:rPr>
                <w:lang w:val="en-MY"/>
              </w:rPr>
            </w:pPr>
            <w:r w:rsidRPr="00EE21C4">
              <w:rPr>
                <w:lang w:val="en-MY"/>
              </w:rPr>
              <w:t>316.79</w:t>
            </w:r>
          </w:p>
        </w:tc>
        <w:tc>
          <w:tcPr>
            <w:tcW w:w="1305" w:type="dxa"/>
            <w:shd w:val="clear" w:color="auto" w:fill="FFFFFF"/>
          </w:tcPr>
          <w:p w14:paraId="38EAFC30" w14:textId="41E2C91E" w:rsidR="00776F2D" w:rsidRPr="00EE21C4" w:rsidRDefault="00776F2D" w:rsidP="00776F2D">
            <w:pPr>
              <w:pStyle w:val="CETBodytext"/>
              <w:spacing w:line="240" w:lineRule="auto"/>
              <w:rPr>
                <w:lang w:val="en-MY"/>
              </w:rPr>
            </w:pPr>
            <w:r w:rsidRPr="00EE21C4">
              <w:rPr>
                <w:lang w:val="en-MY"/>
              </w:rPr>
              <w:t>287.38</w:t>
            </w:r>
            <w:r>
              <w:rPr>
                <w:lang w:val="en-MY"/>
              </w:rPr>
              <w:t xml:space="preserve"> </w:t>
            </w:r>
          </w:p>
        </w:tc>
        <w:tc>
          <w:tcPr>
            <w:tcW w:w="1012" w:type="dxa"/>
            <w:shd w:val="clear" w:color="auto" w:fill="FFFFFF"/>
          </w:tcPr>
          <w:p w14:paraId="40560DCD" w14:textId="245CA8F0" w:rsidR="00776F2D" w:rsidRPr="00EE21C4" w:rsidRDefault="00776F2D" w:rsidP="00776F2D">
            <w:pPr>
              <w:pStyle w:val="CETBodytext"/>
              <w:spacing w:line="240" w:lineRule="auto"/>
              <w:rPr>
                <w:lang w:val="en-MY"/>
              </w:rPr>
            </w:pPr>
            <w:r>
              <w:rPr>
                <w:lang w:val="en-MY"/>
              </w:rPr>
              <w:t xml:space="preserve">  </w:t>
            </w:r>
            <w:r w:rsidRPr="00EE21C4">
              <w:rPr>
                <w:lang w:val="en-MY"/>
              </w:rPr>
              <w:t>9.28</w:t>
            </w:r>
          </w:p>
        </w:tc>
        <w:tc>
          <w:tcPr>
            <w:tcW w:w="881" w:type="dxa"/>
            <w:shd w:val="clear" w:color="auto" w:fill="FFFFFF"/>
          </w:tcPr>
          <w:p w14:paraId="15A25666" w14:textId="53DFE0E3" w:rsidR="00776F2D" w:rsidRPr="00EE21C4" w:rsidRDefault="00776F2D" w:rsidP="00776F2D">
            <w:pPr>
              <w:pStyle w:val="CETBodytext"/>
              <w:spacing w:line="240" w:lineRule="auto"/>
              <w:rPr>
                <w:lang w:val="en-MY"/>
              </w:rPr>
            </w:pPr>
            <w:r w:rsidRPr="00EE21C4">
              <w:rPr>
                <w:lang w:val="en-MY"/>
              </w:rPr>
              <w:t>0.83</w:t>
            </w:r>
            <w:r w:rsidR="00614991">
              <w:rPr>
                <w:lang w:val="en-MY"/>
              </w:rPr>
              <w:t>69</w:t>
            </w:r>
          </w:p>
        </w:tc>
      </w:tr>
      <w:tr w:rsidR="00776F2D" w:rsidRPr="006A1FAD" w14:paraId="6369C8D1" w14:textId="77777777" w:rsidTr="00776F2D">
        <w:tc>
          <w:tcPr>
            <w:tcW w:w="2410" w:type="dxa"/>
            <w:shd w:val="clear" w:color="auto" w:fill="FFFFFF"/>
          </w:tcPr>
          <w:p w14:paraId="066BA5BB" w14:textId="15EB379B" w:rsidR="00776F2D" w:rsidRPr="00EE21C4" w:rsidRDefault="00776F2D" w:rsidP="00776F2D">
            <w:pPr>
              <w:pStyle w:val="CETBodytext"/>
              <w:spacing w:line="240" w:lineRule="auto"/>
              <w:rPr>
                <w:lang w:val="en-MY"/>
              </w:rPr>
            </w:pPr>
            <w:r w:rsidRPr="00EE21C4">
              <w:rPr>
                <w:lang w:val="en-MY"/>
              </w:rPr>
              <w:t>L*</w:t>
            </w:r>
          </w:p>
        </w:tc>
        <w:tc>
          <w:tcPr>
            <w:tcW w:w="851" w:type="dxa"/>
            <w:shd w:val="clear" w:color="auto" w:fill="FFFFFF"/>
          </w:tcPr>
          <w:p w14:paraId="75AD64EC" w14:textId="0D0A9555" w:rsidR="00776F2D" w:rsidRPr="00EE21C4" w:rsidRDefault="00776F2D" w:rsidP="00776F2D">
            <w:pPr>
              <w:pStyle w:val="CETBodytext"/>
              <w:spacing w:line="240" w:lineRule="auto"/>
              <w:rPr>
                <w:lang w:val="en-MY"/>
              </w:rPr>
            </w:pPr>
            <w:r w:rsidRPr="00EE21C4">
              <w:rPr>
                <w:lang w:val="en-MY"/>
              </w:rPr>
              <w:t>Maximum</w:t>
            </w:r>
          </w:p>
        </w:tc>
        <w:tc>
          <w:tcPr>
            <w:tcW w:w="708" w:type="dxa"/>
            <w:shd w:val="clear" w:color="auto" w:fill="FFFFFF"/>
          </w:tcPr>
          <w:p w14:paraId="6AC1A383" w14:textId="42AF0A80" w:rsidR="00776F2D" w:rsidRPr="00EE21C4" w:rsidRDefault="00776F2D" w:rsidP="00776F2D">
            <w:pPr>
              <w:pStyle w:val="CETBodytext"/>
              <w:spacing w:line="240" w:lineRule="auto"/>
              <w:jc w:val="left"/>
              <w:rPr>
                <w:lang w:val="en-MY"/>
              </w:rPr>
            </w:pPr>
            <w:r>
              <w:rPr>
                <w:lang w:val="en-MY"/>
              </w:rPr>
              <w:t>-</w:t>
            </w:r>
          </w:p>
        </w:tc>
        <w:tc>
          <w:tcPr>
            <w:tcW w:w="993" w:type="dxa"/>
            <w:shd w:val="clear" w:color="auto" w:fill="FFFFFF"/>
          </w:tcPr>
          <w:p w14:paraId="21AADBB7" w14:textId="3455C5AE" w:rsidR="00776F2D" w:rsidRPr="00EE21C4" w:rsidRDefault="00776F2D" w:rsidP="00776F2D">
            <w:pPr>
              <w:pStyle w:val="CETBodytext"/>
              <w:spacing w:line="240" w:lineRule="auto"/>
              <w:rPr>
                <w:lang w:val="en-MY"/>
              </w:rPr>
            </w:pPr>
            <w:r w:rsidRPr="00EE21C4">
              <w:rPr>
                <w:lang w:val="en-MY"/>
              </w:rPr>
              <w:t>79.62</w:t>
            </w:r>
          </w:p>
        </w:tc>
        <w:tc>
          <w:tcPr>
            <w:tcW w:w="1305" w:type="dxa"/>
            <w:shd w:val="clear" w:color="auto" w:fill="FFFFFF"/>
          </w:tcPr>
          <w:p w14:paraId="32BBD060" w14:textId="7B41EC0B" w:rsidR="00776F2D" w:rsidRPr="00EE21C4" w:rsidRDefault="00776F2D" w:rsidP="00776F2D">
            <w:pPr>
              <w:pStyle w:val="CETBodytext"/>
              <w:spacing w:line="240" w:lineRule="auto"/>
              <w:rPr>
                <w:lang w:val="en-MY"/>
              </w:rPr>
            </w:pPr>
            <w:r w:rsidRPr="00EE21C4">
              <w:rPr>
                <w:lang w:val="en-MY"/>
              </w:rPr>
              <w:t>80.76</w:t>
            </w:r>
          </w:p>
        </w:tc>
        <w:tc>
          <w:tcPr>
            <w:tcW w:w="1012" w:type="dxa"/>
            <w:shd w:val="clear" w:color="auto" w:fill="FFFFFF"/>
          </w:tcPr>
          <w:p w14:paraId="2F46734C" w14:textId="03C65F31" w:rsidR="00776F2D" w:rsidRPr="00EE21C4" w:rsidRDefault="00776F2D" w:rsidP="00776F2D">
            <w:pPr>
              <w:pStyle w:val="CETBodytext"/>
              <w:spacing w:line="240" w:lineRule="auto"/>
              <w:rPr>
                <w:lang w:val="en-MY"/>
              </w:rPr>
            </w:pPr>
            <w:r>
              <w:rPr>
                <w:lang w:val="en-MY"/>
              </w:rPr>
              <w:t xml:space="preserve">  </w:t>
            </w:r>
            <w:r w:rsidRPr="00EE21C4">
              <w:rPr>
                <w:lang w:val="en-MY"/>
              </w:rPr>
              <w:t>1.43</w:t>
            </w:r>
          </w:p>
        </w:tc>
        <w:tc>
          <w:tcPr>
            <w:tcW w:w="881" w:type="dxa"/>
            <w:shd w:val="clear" w:color="auto" w:fill="FFFFFF"/>
          </w:tcPr>
          <w:p w14:paraId="1CCC77E4" w14:textId="44541A10" w:rsidR="00776F2D" w:rsidRPr="00EE21C4" w:rsidRDefault="00776F2D" w:rsidP="00776F2D">
            <w:pPr>
              <w:pStyle w:val="CETBodytext"/>
              <w:spacing w:line="240" w:lineRule="auto"/>
              <w:rPr>
                <w:lang w:val="en-MY"/>
              </w:rPr>
            </w:pPr>
            <w:r w:rsidRPr="00EE21C4">
              <w:rPr>
                <w:lang w:val="en-MY"/>
              </w:rPr>
              <w:t>0.96</w:t>
            </w:r>
            <w:r w:rsidR="00614991">
              <w:rPr>
                <w:lang w:val="en-MY"/>
              </w:rPr>
              <w:t>48</w:t>
            </w:r>
          </w:p>
        </w:tc>
      </w:tr>
      <w:tr w:rsidR="00776F2D" w:rsidRPr="006A1FAD" w14:paraId="438320ED" w14:textId="77777777" w:rsidTr="00776F2D">
        <w:tc>
          <w:tcPr>
            <w:tcW w:w="2410" w:type="dxa"/>
            <w:shd w:val="clear" w:color="auto" w:fill="FFFFFF"/>
          </w:tcPr>
          <w:p w14:paraId="7E98406D" w14:textId="7189CE89" w:rsidR="00776F2D" w:rsidRPr="00EE21C4" w:rsidRDefault="00776F2D" w:rsidP="00776F2D">
            <w:pPr>
              <w:pStyle w:val="CETBodytext"/>
              <w:spacing w:line="240" w:lineRule="auto"/>
              <w:rPr>
                <w:lang w:val="en-MY"/>
              </w:rPr>
            </w:pPr>
            <w:r w:rsidRPr="00EE21C4">
              <w:rPr>
                <w:lang w:val="en-MY"/>
              </w:rPr>
              <w:t>a*</w:t>
            </w:r>
          </w:p>
        </w:tc>
        <w:tc>
          <w:tcPr>
            <w:tcW w:w="851" w:type="dxa"/>
            <w:shd w:val="clear" w:color="auto" w:fill="FFFFFF"/>
          </w:tcPr>
          <w:p w14:paraId="2CE15D70" w14:textId="6A0FA7D5" w:rsidR="00776F2D" w:rsidRPr="00EE21C4" w:rsidRDefault="00776F2D" w:rsidP="00776F2D">
            <w:pPr>
              <w:pStyle w:val="CETBodytext"/>
              <w:spacing w:line="240" w:lineRule="auto"/>
              <w:rPr>
                <w:lang w:val="en-MY"/>
              </w:rPr>
            </w:pPr>
            <w:r w:rsidRPr="00EE21C4">
              <w:rPr>
                <w:lang w:val="en-MY"/>
              </w:rPr>
              <w:t>Minimum</w:t>
            </w:r>
          </w:p>
        </w:tc>
        <w:tc>
          <w:tcPr>
            <w:tcW w:w="708" w:type="dxa"/>
            <w:shd w:val="clear" w:color="auto" w:fill="FFFFFF"/>
          </w:tcPr>
          <w:p w14:paraId="31EC9DE5" w14:textId="5032B4E7" w:rsidR="00776F2D" w:rsidRPr="00EE21C4" w:rsidRDefault="00776F2D" w:rsidP="00776F2D">
            <w:pPr>
              <w:pStyle w:val="CETBodytext"/>
              <w:spacing w:line="240" w:lineRule="auto"/>
              <w:jc w:val="left"/>
              <w:rPr>
                <w:lang w:val="en-MY"/>
              </w:rPr>
            </w:pPr>
            <w:r>
              <w:rPr>
                <w:lang w:val="en-MY"/>
              </w:rPr>
              <w:t>-</w:t>
            </w:r>
          </w:p>
        </w:tc>
        <w:tc>
          <w:tcPr>
            <w:tcW w:w="993" w:type="dxa"/>
            <w:shd w:val="clear" w:color="auto" w:fill="FFFFFF"/>
          </w:tcPr>
          <w:p w14:paraId="5D721D40" w14:textId="007FDB93" w:rsidR="00776F2D" w:rsidRPr="00EE21C4" w:rsidRDefault="00776F2D" w:rsidP="00776F2D">
            <w:pPr>
              <w:pStyle w:val="CETBodytext"/>
              <w:spacing w:line="240" w:lineRule="auto"/>
              <w:rPr>
                <w:lang w:val="en-MY"/>
              </w:rPr>
            </w:pPr>
            <w:r w:rsidRPr="00EE21C4">
              <w:rPr>
                <w:lang w:val="en-MY"/>
              </w:rPr>
              <w:t>1.80</w:t>
            </w:r>
          </w:p>
        </w:tc>
        <w:tc>
          <w:tcPr>
            <w:tcW w:w="1305" w:type="dxa"/>
            <w:shd w:val="clear" w:color="auto" w:fill="FFFFFF"/>
          </w:tcPr>
          <w:p w14:paraId="7DD90FE4" w14:textId="44175724" w:rsidR="00776F2D" w:rsidRPr="00EE21C4" w:rsidRDefault="00776F2D" w:rsidP="00776F2D">
            <w:pPr>
              <w:pStyle w:val="CETBodytext"/>
              <w:spacing w:line="240" w:lineRule="auto"/>
              <w:rPr>
                <w:lang w:val="en-MY"/>
              </w:rPr>
            </w:pPr>
            <w:r w:rsidRPr="00EE21C4">
              <w:rPr>
                <w:lang w:val="en-MY"/>
              </w:rPr>
              <w:t>1.33</w:t>
            </w:r>
          </w:p>
        </w:tc>
        <w:tc>
          <w:tcPr>
            <w:tcW w:w="1012" w:type="dxa"/>
            <w:shd w:val="clear" w:color="auto" w:fill="FFFFFF"/>
          </w:tcPr>
          <w:p w14:paraId="77EFBB71" w14:textId="345116E5" w:rsidR="00776F2D" w:rsidRPr="00EE21C4" w:rsidRDefault="00776F2D" w:rsidP="00776F2D">
            <w:pPr>
              <w:pStyle w:val="CETBodytext"/>
              <w:spacing w:line="240" w:lineRule="auto"/>
              <w:rPr>
                <w:lang w:val="en-MY"/>
              </w:rPr>
            </w:pPr>
            <w:r w:rsidRPr="00EE21C4">
              <w:rPr>
                <w:lang w:val="en-MY"/>
              </w:rPr>
              <w:t>26.11</w:t>
            </w:r>
          </w:p>
        </w:tc>
        <w:tc>
          <w:tcPr>
            <w:tcW w:w="881" w:type="dxa"/>
            <w:shd w:val="clear" w:color="auto" w:fill="FFFFFF"/>
          </w:tcPr>
          <w:p w14:paraId="49A594F0" w14:textId="70C3EEE5" w:rsidR="00776F2D" w:rsidRPr="00EE21C4" w:rsidRDefault="00776F2D" w:rsidP="00776F2D">
            <w:pPr>
              <w:pStyle w:val="CETBodytext"/>
              <w:spacing w:line="240" w:lineRule="auto"/>
              <w:rPr>
                <w:lang w:val="en-MY"/>
              </w:rPr>
            </w:pPr>
            <w:r w:rsidRPr="00EE21C4">
              <w:rPr>
                <w:lang w:val="en-MY"/>
              </w:rPr>
              <w:t>0.90</w:t>
            </w:r>
            <w:r w:rsidR="00614991">
              <w:rPr>
                <w:lang w:val="en-MY"/>
              </w:rPr>
              <w:t>43</w:t>
            </w:r>
          </w:p>
        </w:tc>
      </w:tr>
      <w:tr w:rsidR="00776F2D" w:rsidRPr="006A1FAD" w14:paraId="5E932E0E" w14:textId="77777777" w:rsidTr="00776F2D">
        <w:tc>
          <w:tcPr>
            <w:tcW w:w="2410" w:type="dxa"/>
            <w:tcBorders>
              <w:bottom w:val="nil"/>
            </w:tcBorders>
            <w:shd w:val="clear" w:color="auto" w:fill="FFFFFF"/>
          </w:tcPr>
          <w:p w14:paraId="172278AA" w14:textId="4F5AC266" w:rsidR="00776F2D" w:rsidRPr="00EE21C4" w:rsidRDefault="00776F2D" w:rsidP="00776F2D">
            <w:pPr>
              <w:pStyle w:val="CETBodytext"/>
              <w:spacing w:line="240" w:lineRule="auto"/>
              <w:rPr>
                <w:lang w:val="en-MY"/>
              </w:rPr>
            </w:pPr>
            <w:r w:rsidRPr="00EE21C4">
              <w:rPr>
                <w:lang w:val="en-MY"/>
              </w:rPr>
              <w:t>b*</w:t>
            </w:r>
          </w:p>
        </w:tc>
        <w:tc>
          <w:tcPr>
            <w:tcW w:w="851" w:type="dxa"/>
            <w:tcBorders>
              <w:bottom w:val="nil"/>
            </w:tcBorders>
            <w:shd w:val="clear" w:color="auto" w:fill="FFFFFF"/>
          </w:tcPr>
          <w:p w14:paraId="5919736B" w14:textId="75A67AEE" w:rsidR="00776F2D" w:rsidRPr="00EE21C4" w:rsidRDefault="00776F2D" w:rsidP="00776F2D">
            <w:pPr>
              <w:pStyle w:val="CETBodytext"/>
              <w:spacing w:line="240" w:lineRule="auto"/>
              <w:rPr>
                <w:lang w:val="en-MY"/>
              </w:rPr>
            </w:pPr>
            <w:r w:rsidRPr="00EE21C4">
              <w:rPr>
                <w:lang w:val="en-MY"/>
              </w:rPr>
              <w:t>Minimum</w:t>
            </w:r>
          </w:p>
        </w:tc>
        <w:tc>
          <w:tcPr>
            <w:tcW w:w="708" w:type="dxa"/>
            <w:tcBorders>
              <w:bottom w:val="nil"/>
            </w:tcBorders>
            <w:shd w:val="clear" w:color="auto" w:fill="FFFFFF"/>
          </w:tcPr>
          <w:p w14:paraId="207BE00F" w14:textId="4452EB0B" w:rsidR="00776F2D" w:rsidRPr="00EE21C4" w:rsidRDefault="00776F2D" w:rsidP="00776F2D">
            <w:pPr>
              <w:pStyle w:val="CETBodytext"/>
              <w:spacing w:line="240" w:lineRule="auto"/>
              <w:jc w:val="left"/>
              <w:rPr>
                <w:lang w:val="en-MY"/>
              </w:rPr>
            </w:pPr>
            <w:r>
              <w:rPr>
                <w:lang w:val="en-MY"/>
              </w:rPr>
              <w:t>-</w:t>
            </w:r>
          </w:p>
        </w:tc>
        <w:tc>
          <w:tcPr>
            <w:tcW w:w="993" w:type="dxa"/>
            <w:tcBorders>
              <w:bottom w:val="nil"/>
            </w:tcBorders>
            <w:shd w:val="clear" w:color="auto" w:fill="FFFFFF"/>
          </w:tcPr>
          <w:p w14:paraId="4B4F722B" w14:textId="3211CAC8" w:rsidR="00776F2D" w:rsidRPr="00EE21C4" w:rsidRDefault="00776F2D" w:rsidP="00776F2D">
            <w:pPr>
              <w:pStyle w:val="CETBodytext"/>
              <w:spacing w:line="240" w:lineRule="auto"/>
              <w:rPr>
                <w:lang w:val="en-MY"/>
              </w:rPr>
            </w:pPr>
            <w:r w:rsidRPr="00EE21C4">
              <w:rPr>
                <w:lang w:val="en-MY"/>
              </w:rPr>
              <w:t>12.03</w:t>
            </w:r>
          </w:p>
        </w:tc>
        <w:tc>
          <w:tcPr>
            <w:tcW w:w="1305" w:type="dxa"/>
            <w:tcBorders>
              <w:bottom w:val="nil"/>
            </w:tcBorders>
            <w:shd w:val="clear" w:color="auto" w:fill="FFFFFF"/>
          </w:tcPr>
          <w:p w14:paraId="41DBC9D7" w14:textId="6F9D352B" w:rsidR="00776F2D" w:rsidRPr="00EE21C4" w:rsidRDefault="00776F2D" w:rsidP="00776F2D">
            <w:pPr>
              <w:pStyle w:val="CETBodytext"/>
              <w:spacing w:line="240" w:lineRule="auto"/>
              <w:rPr>
                <w:lang w:val="en-MY"/>
              </w:rPr>
            </w:pPr>
            <w:r w:rsidRPr="00EE21C4">
              <w:rPr>
                <w:lang w:val="en-MY"/>
              </w:rPr>
              <w:t>9.43</w:t>
            </w:r>
          </w:p>
        </w:tc>
        <w:tc>
          <w:tcPr>
            <w:tcW w:w="1012" w:type="dxa"/>
            <w:tcBorders>
              <w:bottom w:val="nil"/>
            </w:tcBorders>
            <w:shd w:val="clear" w:color="auto" w:fill="FFFFFF"/>
          </w:tcPr>
          <w:p w14:paraId="114F3118" w14:textId="25E81434" w:rsidR="00776F2D" w:rsidRPr="00EE21C4" w:rsidRDefault="00776F2D" w:rsidP="00776F2D">
            <w:pPr>
              <w:pStyle w:val="CETBodytext"/>
              <w:spacing w:line="240" w:lineRule="auto"/>
              <w:rPr>
                <w:lang w:val="en-MY"/>
              </w:rPr>
            </w:pPr>
            <w:r w:rsidRPr="00EE21C4">
              <w:rPr>
                <w:lang w:val="en-MY"/>
              </w:rPr>
              <w:t>21.61</w:t>
            </w:r>
          </w:p>
        </w:tc>
        <w:tc>
          <w:tcPr>
            <w:tcW w:w="881" w:type="dxa"/>
            <w:tcBorders>
              <w:bottom w:val="nil"/>
            </w:tcBorders>
            <w:shd w:val="clear" w:color="auto" w:fill="FFFFFF"/>
          </w:tcPr>
          <w:p w14:paraId="39A76D1C" w14:textId="34572B5C" w:rsidR="00776F2D" w:rsidRPr="00EE21C4" w:rsidRDefault="00776F2D" w:rsidP="00776F2D">
            <w:pPr>
              <w:pStyle w:val="CETBodytext"/>
              <w:spacing w:line="240" w:lineRule="auto"/>
              <w:rPr>
                <w:lang w:val="en-MY"/>
              </w:rPr>
            </w:pPr>
            <w:r w:rsidRPr="00EE21C4">
              <w:rPr>
                <w:lang w:val="en-MY"/>
              </w:rPr>
              <w:t>0.9</w:t>
            </w:r>
            <w:r w:rsidR="00614991">
              <w:rPr>
                <w:lang w:val="en-MY"/>
              </w:rPr>
              <w:t>799</w:t>
            </w:r>
          </w:p>
        </w:tc>
      </w:tr>
      <w:tr w:rsidR="00776F2D" w:rsidRPr="006A1FAD" w14:paraId="606E834C" w14:textId="77777777" w:rsidTr="00776F2D">
        <w:tc>
          <w:tcPr>
            <w:tcW w:w="2410" w:type="dxa"/>
            <w:tcBorders>
              <w:top w:val="nil"/>
              <w:bottom w:val="single" w:sz="4" w:space="0" w:color="008000"/>
            </w:tcBorders>
            <w:shd w:val="clear" w:color="auto" w:fill="FFFFFF"/>
          </w:tcPr>
          <w:p w14:paraId="759FFC0A" w14:textId="0AAFE05E" w:rsidR="00776F2D" w:rsidRPr="00EE21C4" w:rsidRDefault="00776F2D" w:rsidP="00776F2D">
            <w:pPr>
              <w:pStyle w:val="CETBodytext"/>
              <w:spacing w:line="240" w:lineRule="auto"/>
              <w:rPr>
                <w:lang w:val="en-MY"/>
              </w:rPr>
            </w:pPr>
            <w:r w:rsidRPr="00EE21C4">
              <w:rPr>
                <w:lang w:val="en-MY"/>
              </w:rPr>
              <w:t xml:space="preserve">pH </w:t>
            </w:r>
          </w:p>
        </w:tc>
        <w:tc>
          <w:tcPr>
            <w:tcW w:w="851" w:type="dxa"/>
            <w:tcBorders>
              <w:top w:val="nil"/>
              <w:bottom w:val="single" w:sz="4" w:space="0" w:color="008000"/>
            </w:tcBorders>
            <w:shd w:val="clear" w:color="auto" w:fill="FFFFFF"/>
          </w:tcPr>
          <w:p w14:paraId="49E39EFD" w14:textId="6E4959D7" w:rsidR="00776F2D" w:rsidRPr="00EE21C4" w:rsidRDefault="00776F2D" w:rsidP="00776F2D">
            <w:pPr>
              <w:pStyle w:val="CETBodytext"/>
              <w:spacing w:line="240" w:lineRule="auto"/>
              <w:rPr>
                <w:lang w:val="en-MY"/>
              </w:rPr>
            </w:pPr>
            <w:r w:rsidRPr="00EE21C4">
              <w:rPr>
                <w:lang w:val="en-MY"/>
              </w:rPr>
              <w:t xml:space="preserve">Target </w:t>
            </w:r>
          </w:p>
        </w:tc>
        <w:tc>
          <w:tcPr>
            <w:tcW w:w="708" w:type="dxa"/>
            <w:tcBorders>
              <w:top w:val="nil"/>
              <w:bottom w:val="single" w:sz="4" w:space="0" w:color="008000"/>
            </w:tcBorders>
            <w:shd w:val="clear" w:color="auto" w:fill="FFFFFF"/>
          </w:tcPr>
          <w:p w14:paraId="159513B5" w14:textId="15B5D1E5" w:rsidR="00776F2D" w:rsidRPr="00EE21C4" w:rsidRDefault="00776F2D" w:rsidP="00776F2D">
            <w:pPr>
              <w:pStyle w:val="CETBodytext"/>
              <w:spacing w:line="240" w:lineRule="auto"/>
              <w:rPr>
                <w:lang w:val="en-MY"/>
              </w:rPr>
            </w:pPr>
            <w:r w:rsidRPr="00EE21C4">
              <w:rPr>
                <w:lang w:val="en-MY"/>
              </w:rPr>
              <w:t>7</w:t>
            </w:r>
            <w:r>
              <w:rPr>
                <w:lang w:val="en-MY"/>
              </w:rPr>
              <w:t>.0</w:t>
            </w:r>
          </w:p>
        </w:tc>
        <w:tc>
          <w:tcPr>
            <w:tcW w:w="993" w:type="dxa"/>
            <w:tcBorders>
              <w:top w:val="nil"/>
              <w:bottom w:val="single" w:sz="4" w:space="0" w:color="008000"/>
            </w:tcBorders>
            <w:shd w:val="clear" w:color="auto" w:fill="FFFFFF"/>
          </w:tcPr>
          <w:p w14:paraId="1321B4D6" w14:textId="484406C8" w:rsidR="00776F2D" w:rsidRPr="00EE21C4" w:rsidRDefault="00776F2D" w:rsidP="00776F2D">
            <w:pPr>
              <w:pStyle w:val="CETBodytext"/>
              <w:spacing w:line="240" w:lineRule="auto"/>
              <w:rPr>
                <w:lang w:val="en-MY"/>
              </w:rPr>
            </w:pPr>
            <w:r w:rsidRPr="00EE21C4">
              <w:rPr>
                <w:lang w:val="en-MY"/>
              </w:rPr>
              <w:t>6.95</w:t>
            </w:r>
          </w:p>
        </w:tc>
        <w:tc>
          <w:tcPr>
            <w:tcW w:w="1305" w:type="dxa"/>
            <w:tcBorders>
              <w:top w:val="nil"/>
              <w:bottom w:val="single" w:sz="4" w:space="0" w:color="008000"/>
            </w:tcBorders>
            <w:shd w:val="clear" w:color="auto" w:fill="FFFFFF"/>
          </w:tcPr>
          <w:p w14:paraId="0F23446C" w14:textId="74C50A15" w:rsidR="00776F2D" w:rsidRPr="00EE21C4" w:rsidRDefault="00776F2D" w:rsidP="00776F2D">
            <w:pPr>
              <w:pStyle w:val="CETBodytext"/>
              <w:spacing w:line="240" w:lineRule="auto"/>
              <w:rPr>
                <w:lang w:val="en-MY"/>
              </w:rPr>
            </w:pPr>
            <w:r w:rsidRPr="00EE21C4">
              <w:rPr>
                <w:lang w:val="en-MY"/>
              </w:rPr>
              <w:t>6.96</w:t>
            </w:r>
          </w:p>
        </w:tc>
        <w:tc>
          <w:tcPr>
            <w:tcW w:w="1012" w:type="dxa"/>
            <w:tcBorders>
              <w:top w:val="nil"/>
              <w:bottom w:val="single" w:sz="4" w:space="0" w:color="008000"/>
            </w:tcBorders>
            <w:shd w:val="clear" w:color="auto" w:fill="FFFFFF"/>
          </w:tcPr>
          <w:p w14:paraId="791DFF46" w14:textId="0258F333" w:rsidR="00776F2D" w:rsidRPr="00EE21C4" w:rsidRDefault="00776F2D" w:rsidP="00776F2D">
            <w:pPr>
              <w:pStyle w:val="CETBodytext"/>
              <w:spacing w:line="240" w:lineRule="auto"/>
              <w:rPr>
                <w:lang w:val="en-MY"/>
              </w:rPr>
            </w:pPr>
            <w:r>
              <w:rPr>
                <w:lang w:val="en-MY"/>
              </w:rPr>
              <w:t xml:space="preserve">  </w:t>
            </w:r>
            <w:r w:rsidRPr="00EE21C4">
              <w:rPr>
                <w:lang w:val="en-MY"/>
              </w:rPr>
              <w:t>0.14</w:t>
            </w:r>
          </w:p>
        </w:tc>
        <w:tc>
          <w:tcPr>
            <w:tcW w:w="881" w:type="dxa"/>
            <w:tcBorders>
              <w:top w:val="nil"/>
              <w:bottom w:val="single" w:sz="4" w:space="0" w:color="008000"/>
            </w:tcBorders>
            <w:shd w:val="clear" w:color="auto" w:fill="FFFFFF"/>
          </w:tcPr>
          <w:p w14:paraId="78C147CA" w14:textId="4B75C2F8" w:rsidR="00776F2D" w:rsidRPr="00EE21C4" w:rsidRDefault="00776F2D" w:rsidP="00776F2D">
            <w:pPr>
              <w:pStyle w:val="CETBodytext"/>
              <w:spacing w:line="240" w:lineRule="auto"/>
              <w:rPr>
                <w:lang w:val="en-MY"/>
              </w:rPr>
            </w:pPr>
            <w:r w:rsidRPr="00EE21C4">
              <w:rPr>
                <w:lang w:val="en-MY"/>
              </w:rPr>
              <w:t>0.</w:t>
            </w:r>
            <w:r>
              <w:rPr>
                <w:lang w:val="en-MY"/>
              </w:rPr>
              <w:t>9</w:t>
            </w:r>
            <w:r w:rsidR="00614991">
              <w:rPr>
                <w:lang w:val="en-MY"/>
              </w:rPr>
              <w:t>160</w:t>
            </w:r>
          </w:p>
        </w:tc>
      </w:tr>
      <w:tr w:rsidR="00776F2D" w:rsidRPr="00EE21C4" w14:paraId="434AFC2A" w14:textId="77777777" w:rsidTr="00776F2D">
        <w:tc>
          <w:tcPr>
            <w:tcW w:w="2410" w:type="dxa"/>
            <w:tcBorders>
              <w:top w:val="single" w:sz="4" w:space="0" w:color="008000"/>
              <w:bottom w:val="single" w:sz="4" w:space="0" w:color="008000"/>
            </w:tcBorders>
            <w:shd w:val="clear" w:color="auto" w:fill="FFFFFF"/>
          </w:tcPr>
          <w:p w14:paraId="3BEFEDAC" w14:textId="33AA45AC" w:rsidR="00776F2D" w:rsidRPr="00EE21C4" w:rsidRDefault="00776F2D" w:rsidP="00776F2D">
            <w:pPr>
              <w:pStyle w:val="CETBodytext"/>
              <w:spacing w:line="240" w:lineRule="auto"/>
              <w:rPr>
                <w:i/>
                <w:iCs/>
                <w:lang w:val="en-MY"/>
              </w:rPr>
            </w:pPr>
            <w:r w:rsidRPr="00EE21C4">
              <w:rPr>
                <w:i/>
                <w:iCs/>
                <w:lang w:val="en-MY"/>
              </w:rPr>
              <w:t>Milk kefir</w:t>
            </w:r>
          </w:p>
        </w:tc>
        <w:tc>
          <w:tcPr>
            <w:tcW w:w="851" w:type="dxa"/>
            <w:tcBorders>
              <w:top w:val="single" w:sz="4" w:space="0" w:color="008000"/>
              <w:bottom w:val="single" w:sz="4" w:space="0" w:color="008000"/>
            </w:tcBorders>
            <w:shd w:val="clear" w:color="auto" w:fill="FFFFFF"/>
          </w:tcPr>
          <w:p w14:paraId="4C6D493D" w14:textId="77777777" w:rsidR="00776F2D" w:rsidRPr="00EE21C4" w:rsidRDefault="00776F2D" w:rsidP="00776F2D">
            <w:pPr>
              <w:pStyle w:val="CETBodytext"/>
              <w:spacing w:line="240" w:lineRule="auto"/>
              <w:rPr>
                <w:i/>
                <w:iCs/>
                <w:lang w:val="en-MY"/>
              </w:rPr>
            </w:pPr>
          </w:p>
        </w:tc>
        <w:tc>
          <w:tcPr>
            <w:tcW w:w="708" w:type="dxa"/>
            <w:tcBorders>
              <w:top w:val="single" w:sz="4" w:space="0" w:color="008000"/>
              <w:bottom w:val="single" w:sz="4" w:space="0" w:color="008000"/>
            </w:tcBorders>
            <w:shd w:val="clear" w:color="auto" w:fill="FFFFFF"/>
          </w:tcPr>
          <w:p w14:paraId="7E7DC2D6" w14:textId="0A35C904" w:rsidR="00776F2D" w:rsidRPr="00EE21C4" w:rsidRDefault="00776F2D" w:rsidP="00776F2D">
            <w:pPr>
              <w:pStyle w:val="CETBodytext"/>
              <w:spacing w:line="240" w:lineRule="auto"/>
              <w:rPr>
                <w:i/>
                <w:iCs/>
                <w:lang w:val="en-MY"/>
              </w:rPr>
            </w:pPr>
          </w:p>
        </w:tc>
        <w:tc>
          <w:tcPr>
            <w:tcW w:w="993" w:type="dxa"/>
            <w:tcBorders>
              <w:top w:val="single" w:sz="4" w:space="0" w:color="008000"/>
              <w:bottom w:val="single" w:sz="4" w:space="0" w:color="008000"/>
            </w:tcBorders>
            <w:shd w:val="clear" w:color="auto" w:fill="FFFFFF"/>
          </w:tcPr>
          <w:p w14:paraId="39A88667" w14:textId="77777777" w:rsidR="00776F2D" w:rsidRPr="00EE21C4" w:rsidRDefault="00776F2D" w:rsidP="00776F2D">
            <w:pPr>
              <w:pStyle w:val="CETBodytext"/>
              <w:spacing w:line="240" w:lineRule="auto"/>
              <w:rPr>
                <w:i/>
                <w:iCs/>
                <w:lang w:val="en-MY"/>
              </w:rPr>
            </w:pPr>
          </w:p>
        </w:tc>
        <w:tc>
          <w:tcPr>
            <w:tcW w:w="1305" w:type="dxa"/>
            <w:tcBorders>
              <w:top w:val="single" w:sz="4" w:space="0" w:color="008000"/>
              <w:bottom w:val="single" w:sz="4" w:space="0" w:color="008000"/>
            </w:tcBorders>
            <w:shd w:val="clear" w:color="auto" w:fill="FFFFFF"/>
          </w:tcPr>
          <w:p w14:paraId="1138DE3C" w14:textId="77777777" w:rsidR="00776F2D" w:rsidRPr="00EE21C4" w:rsidRDefault="00776F2D" w:rsidP="00776F2D">
            <w:pPr>
              <w:pStyle w:val="CETBodytext"/>
              <w:spacing w:line="240" w:lineRule="auto"/>
              <w:rPr>
                <w:i/>
                <w:iCs/>
                <w:lang w:val="en-MY"/>
              </w:rPr>
            </w:pPr>
          </w:p>
        </w:tc>
        <w:tc>
          <w:tcPr>
            <w:tcW w:w="1012" w:type="dxa"/>
            <w:tcBorders>
              <w:top w:val="single" w:sz="4" w:space="0" w:color="008000"/>
              <w:bottom w:val="single" w:sz="4" w:space="0" w:color="008000"/>
            </w:tcBorders>
            <w:shd w:val="clear" w:color="auto" w:fill="FFFFFF"/>
          </w:tcPr>
          <w:p w14:paraId="6A6B424B" w14:textId="77777777" w:rsidR="00776F2D" w:rsidRPr="00EE21C4" w:rsidRDefault="00776F2D" w:rsidP="00776F2D">
            <w:pPr>
              <w:pStyle w:val="CETBodytext"/>
              <w:spacing w:line="240" w:lineRule="auto"/>
              <w:rPr>
                <w:i/>
                <w:iCs/>
                <w:lang w:val="en-MY"/>
              </w:rPr>
            </w:pPr>
          </w:p>
        </w:tc>
        <w:tc>
          <w:tcPr>
            <w:tcW w:w="881" w:type="dxa"/>
            <w:tcBorders>
              <w:top w:val="single" w:sz="4" w:space="0" w:color="008000"/>
              <w:bottom w:val="single" w:sz="4" w:space="0" w:color="008000"/>
            </w:tcBorders>
            <w:shd w:val="clear" w:color="auto" w:fill="FFFFFF"/>
          </w:tcPr>
          <w:p w14:paraId="4DB25BD8" w14:textId="0ED7086F" w:rsidR="00776F2D" w:rsidRPr="00EE21C4" w:rsidRDefault="00776F2D" w:rsidP="00776F2D">
            <w:pPr>
              <w:pStyle w:val="CETBodytext"/>
              <w:spacing w:line="240" w:lineRule="auto"/>
              <w:rPr>
                <w:i/>
                <w:iCs/>
                <w:lang w:val="en-MY"/>
              </w:rPr>
            </w:pPr>
          </w:p>
        </w:tc>
      </w:tr>
      <w:tr w:rsidR="00776F2D" w:rsidRPr="006A1FAD" w14:paraId="0CB5A5DE" w14:textId="77777777" w:rsidTr="00776F2D">
        <w:tc>
          <w:tcPr>
            <w:tcW w:w="2410" w:type="dxa"/>
            <w:tcBorders>
              <w:top w:val="single" w:sz="4" w:space="0" w:color="008000"/>
              <w:bottom w:val="nil"/>
            </w:tcBorders>
            <w:shd w:val="clear" w:color="auto" w:fill="FFFFFF"/>
          </w:tcPr>
          <w:p w14:paraId="2EB8BC56" w14:textId="12462B0C" w:rsidR="00776F2D" w:rsidRPr="002B7C6D" w:rsidRDefault="00776F2D" w:rsidP="00776F2D">
            <w:pPr>
              <w:pStyle w:val="CETBodytext"/>
              <w:spacing w:line="240" w:lineRule="auto"/>
              <w:ind w:right="-1"/>
              <w:rPr>
                <w:rFonts w:ascii="Times New Roman" w:eastAsia="DengXian" w:hAnsi="Times New Roman"/>
                <w:sz w:val="20"/>
              </w:rPr>
            </w:pPr>
            <w:r w:rsidRPr="007279C9">
              <w:t>pH</w:t>
            </w:r>
          </w:p>
        </w:tc>
        <w:tc>
          <w:tcPr>
            <w:tcW w:w="851" w:type="dxa"/>
            <w:tcBorders>
              <w:top w:val="single" w:sz="4" w:space="0" w:color="008000"/>
              <w:bottom w:val="nil"/>
            </w:tcBorders>
            <w:shd w:val="clear" w:color="auto" w:fill="FFFFFF"/>
          </w:tcPr>
          <w:p w14:paraId="5BD09B6C" w14:textId="28EE292D" w:rsidR="00776F2D" w:rsidRPr="002B7C6D" w:rsidRDefault="00776F2D" w:rsidP="00776F2D">
            <w:pPr>
              <w:pStyle w:val="CETBodytext"/>
              <w:spacing w:line="240" w:lineRule="auto"/>
              <w:ind w:right="-1"/>
              <w:rPr>
                <w:rFonts w:ascii="Times New Roman" w:eastAsia="DengXian" w:hAnsi="Times New Roman"/>
                <w:sz w:val="20"/>
              </w:rPr>
            </w:pPr>
            <w:r w:rsidRPr="0055799F">
              <w:t>Target</w:t>
            </w:r>
          </w:p>
        </w:tc>
        <w:tc>
          <w:tcPr>
            <w:tcW w:w="708" w:type="dxa"/>
            <w:tcBorders>
              <w:top w:val="single" w:sz="4" w:space="0" w:color="008000"/>
              <w:bottom w:val="nil"/>
            </w:tcBorders>
            <w:shd w:val="clear" w:color="auto" w:fill="FFFFFF"/>
          </w:tcPr>
          <w:p w14:paraId="001E0A5C" w14:textId="53AE7791" w:rsidR="00776F2D" w:rsidRPr="002B7C6D" w:rsidRDefault="00776F2D" w:rsidP="00776F2D">
            <w:pPr>
              <w:pStyle w:val="CETBodytext"/>
              <w:spacing w:line="240" w:lineRule="auto"/>
              <w:ind w:right="-1"/>
              <w:rPr>
                <w:rFonts w:ascii="Times New Roman" w:eastAsia="DengXian" w:hAnsi="Times New Roman"/>
                <w:sz w:val="20"/>
              </w:rPr>
            </w:pPr>
            <w:r w:rsidRPr="0055799F">
              <w:t>4.4</w:t>
            </w:r>
          </w:p>
        </w:tc>
        <w:tc>
          <w:tcPr>
            <w:tcW w:w="993" w:type="dxa"/>
            <w:tcBorders>
              <w:top w:val="single" w:sz="4" w:space="0" w:color="008000"/>
              <w:bottom w:val="nil"/>
            </w:tcBorders>
            <w:shd w:val="clear" w:color="auto" w:fill="FFFFFF"/>
          </w:tcPr>
          <w:p w14:paraId="1B801A1B" w14:textId="672DD5CF" w:rsidR="00776F2D" w:rsidRPr="002B7C6D" w:rsidRDefault="00776F2D" w:rsidP="00776F2D">
            <w:pPr>
              <w:pStyle w:val="CETBodytext"/>
              <w:spacing w:line="240" w:lineRule="auto"/>
              <w:ind w:right="-1"/>
              <w:rPr>
                <w:rFonts w:ascii="Times New Roman" w:eastAsia="DengXian" w:hAnsi="Times New Roman"/>
                <w:sz w:val="20"/>
              </w:rPr>
            </w:pPr>
            <w:r w:rsidRPr="0055799F">
              <w:t>4.4985</w:t>
            </w:r>
          </w:p>
        </w:tc>
        <w:tc>
          <w:tcPr>
            <w:tcW w:w="1305" w:type="dxa"/>
            <w:tcBorders>
              <w:top w:val="single" w:sz="4" w:space="0" w:color="008000"/>
              <w:bottom w:val="nil"/>
            </w:tcBorders>
            <w:shd w:val="clear" w:color="auto" w:fill="FFFFFF"/>
          </w:tcPr>
          <w:p w14:paraId="1C763782" w14:textId="091DA893" w:rsidR="00776F2D" w:rsidRPr="002B7C6D" w:rsidRDefault="00776F2D" w:rsidP="00776F2D">
            <w:pPr>
              <w:pStyle w:val="CETBodytext"/>
              <w:spacing w:line="240" w:lineRule="auto"/>
              <w:ind w:right="-1"/>
              <w:rPr>
                <w:rFonts w:ascii="Times New Roman" w:eastAsia="DengXian" w:hAnsi="Times New Roman"/>
                <w:sz w:val="20"/>
              </w:rPr>
            </w:pPr>
            <w:r w:rsidRPr="0055799F">
              <w:t>4.51</w:t>
            </w:r>
            <w:r>
              <w:t xml:space="preserve"> </w:t>
            </w:r>
          </w:p>
        </w:tc>
        <w:tc>
          <w:tcPr>
            <w:tcW w:w="1012" w:type="dxa"/>
            <w:tcBorders>
              <w:top w:val="single" w:sz="4" w:space="0" w:color="008000"/>
              <w:bottom w:val="nil"/>
            </w:tcBorders>
            <w:shd w:val="clear" w:color="auto" w:fill="FFFFFF"/>
          </w:tcPr>
          <w:p w14:paraId="061C3D46" w14:textId="29769C75" w:rsidR="00776F2D" w:rsidRPr="0055799F" w:rsidRDefault="00776F2D" w:rsidP="00776F2D">
            <w:pPr>
              <w:pStyle w:val="CETBodytext"/>
              <w:spacing w:line="240" w:lineRule="auto"/>
              <w:ind w:right="-1"/>
            </w:pPr>
            <w:r>
              <w:t xml:space="preserve">  </w:t>
            </w:r>
            <w:r w:rsidRPr="0055799F">
              <w:t>0.25</w:t>
            </w:r>
          </w:p>
        </w:tc>
        <w:tc>
          <w:tcPr>
            <w:tcW w:w="881" w:type="dxa"/>
            <w:tcBorders>
              <w:top w:val="single" w:sz="4" w:space="0" w:color="008000"/>
              <w:bottom w:val="nil"/>
            </w:tcBorders>
            <w:shd w:val="clear" w:color="auto" w:fill="FFFFFF"/>
          </w:tcPr>
          <w:p w14:paraId="7E3C32D7" w14:textId="6F712747" w:rsidR="00776F2D" w:rsidRPr="002B7C6D" w:rsidRDefault="00776F2D" w:rsidP="00776F2D">
            <w:pPr>
              <w:pStyle w:val="CETBodytext"/>
              <w:spacing w:line="240" w:lineRule="auto"/>
              <w:ind w:right="-1"/>
              <w:rPr>
                <w:rFonts w:ascii="Times New Roman" w:eastAsia="DengXian" w:hAnsi="Times New Roman"/>
                <w:sz w:val="20"/>
              </w:rPr>
            </w:pPr>
            <w:r w:rsidRPr="0055799F">
              <w:t>0.9464</w:t>
            </w:r>
          </w:p>
        </w:tc>
      </w:tr>
      <w:tr w:rsidR="00776F2D" w:rsidRPr="006A1FAD" w14:paraId="1F205B16" w14:textId="77777777" w:rsidTr="00776F2D">
        <w:tc>
          <w:tcPr>
            <w:tcW w:w="2410" w:type="dxa"/>
            <w:tcBorders>
              <w:top w:val="nil"/>
            </w:tcBorders>
            <w:shd w:val="clear" w:color="auto" w:fill="FFFFFF"/>
          </w:tcPr>
          <w:p w14:paraId="1E0BC832" w14:textId="0A7F8076" w:rsidR="00776F2D" w:rsidRPr="002B7C6D" w:rsidRDefault="00776F2D" w:rsidP="00776F2D">
            <w:pPr>
              <w:pStyle w:val="CETBodytext"/>
              <w:spacing w:line="240" w:lineRule="auto"/>
              <w:ind w:right="-1"/>
              <w:rPr>
                <w:rFonts w:ascii="Times New Roman" w:eastAsia="DengXian" w:hAnsi="Times New Roman"/>
                <w:sz w:val="20"/>
              </w:rPr>
            </w:pPr>
            <w:r w:rsidRPr="007279C9">
              <w:t>Viscosity (</w:t>
            </w:r>
            <w:proofErr w:type="spellStart"/>
            <w:proofErr w:type="gramStart"/>
            <w:r w:rsidRPr="007279C9">
              <w:t>m.Pas</w:t>
            </w:r>
            <w:proofErr w:type="spellEnd"/>
            <w:proofErr w:type="gramEnd"/>
            <w:r w:rsidRPr="007279C9">
              <w:t>)</w:t>
            </w:r>
          </w:p>
        </w:tc>
        <w:tc>
          <w:tcPr>
            <w:tcW w:w="851" w:type="dxa"/>
            <w:tcBorders>
              <w:top w:val="nil"/>
            </w:tcBorders>
            <w:shd w:val="clear" w:color="auto" w:fill="FFFFFF"/>
          </w:tcPr>
          <w:p w14:paraId="450BDA64" w14:textId="586FF66C" w:rsidR="00776F2D" w:rsidRPr="002B7C6D" w:rsidRDefault="00776F2D" w:rsidP="00776F2D">
            <w:pPr>
              <w:pStyle w:val="CETBodytext"/>
              <w:spacing w:line="240" w:lineRule="auto"/>
              <w:ind w:right="-1"/>
              <w:rPr>
                <w:rFonts w:ascii="Times New Roman" w:eastAsia="DengXian" w:hAnsi="Times New Roman"/>
                <w:sz w:val="20"/>
              </w:rPr>
            </w:pPr>
            <w:r w:rsidRPr="0055799F">
              <w:t>Target</w:t>
            </w:r>
          </w:p>
        </w:tc>
        <w:tc>
          <w:tcPr>
            <w:tcW w:w="708" w:type="dxa"/>
            <w:tcBorders>
              <w:top w:val="nil"/>
            </w:tcBorders>
            <w:shd w:val="clear" w:color="auto" w:fill="FFFFFF"/>
          </w:tcPr>
          <w:p w14:paraId="72C5F8F4" w14:textId="5A4D78FB" w:rsidR="00776F2D" w:rsidRPr="002B7C6D" w:rsidRDefault="00776F2D" w:rsidP="00776F2D">
            <w:pPr>
              <w:pStyle w:val="CETBodytext"/>
              <w:spacing w:line="240" w:lineRule="auto"/>
              <w:ind w:right="-1"/>
              <w:rPr>
                <w:rFonts w:ascii="Times New Roman" w:eastAsia="DengXian" w:hAnsi="Times New Roman"/>
                <w:sz w:val="20"/>
              </w:rPr>
            </w:pPr>
            <w:r w:rsidRPr="0055799F">
              <w:t>1200</w:t>
            </w:r>
          </w:p>
        </w:tc>
        <w:tc>
          <w:tcPr>
            <w:tcW w:w="993" w:type="dxa"/>
            <w:tcBorders>
              <w:top w:val="nil"/>
            </w:tcBorders>
            <w:shd w:val="clear" w:color="auto" w:fill="FFFFFF"/>
          </w:tcPr>
          <w:p w14:paraId="2FECA58C" w14:textId="692716AA" w:rsidR="00776F2D" w:rsidRPr="002B7C6D" w:rsidRDefault="00776F2D" w:rsidP="00776F2D">
            <w:pPr>
              <w:pStyle w:val="CETBodytext"/>
              <w:spacing w:line="240" w:lineRule="auto"/>
              <w:ind w:right="-1"/>
              <w:rPr>
                <w:rFonts w:ascii="Times New Roman" w:eastAsia="DengXian" w:hAnsi="Times New Roman"/>
                <w:sz w:val="20"/>
              </w:rPr>
            </w:pPr>
            <w:r w:rsidRPr="0055799F">
              <w:t>1178.32</w:t>
            </w:r>
          </w:p>
        </w:tc>
        <w:tc>
          <w:tcPr>
            <w:tcW w:w="1305" w:type="dxa"/>
            <w:tcBorders>
              <w:top w:val="nil"/>
            </w:tcBorders>
            <w:shd w:val="clear" w:color="auto" w:fill="FFFFFF"/>
          </w:tcPr>
          <w:p w14:paraId="2497BDE8" w14:textId="1B9D5DAA" w:rsidR="00776F2D" w:rsidRPr="002B7C6D" w:rsidRDefault="00776F2D" w:rsidP="00776F2D">
            <w:pPr>
              <w:pStyle w:val="CETBodytext"/>
              <w:spacing w:line="240" w:lineRule="auto"/>
              <w:ind w:right="-1"/>
              <w:rPr>
                <w:rFonts w:ascii="Times New Roman" w:eastAsia="DengXian" w:hAnsi="Times New Roman"/>
                <w:sz w:val="20"/>
              </w:rPr>
            </w:pPr>
            <w:r w:rsidRPr="0055799F">
              <w:t>1296.6</w:t>
            </w:r>
          </w:p>
        </w:tc>
        <w:tc>
          <w:tcPr>
            <w:tcW w:w="1012" w:type="dxa"/>
            <w:tcBorders>
              <w:top w:val="nil"/>
            </w:tcBorders>
            <w:shd w:val="clear" w:color="auto" w:fill="FFFFFF"/>
          </w:tcPr>
          <w:p w14:paraId="0D91B834" w14:textId="465CFF6F" w:rsidR="00776F2D" w:rsidRPr="0055799F" w:rsidRDefault="00776F2D" w:rsidP="00776F2D">
            <w:pPr>
              <w:pStyle w:val="CETBodytext"/>
              <w:spacing w:line="240" w:lineRule="auto"/>
              <w:ind w:right="-1"/>
            </w:pPr>
            <w:r>
              <w:t xml:space="preserve">  </w:t>
            </w:r>
            <w:r w:rsidRPr="0055799F">
              <w:t>9.12</w:t>
            </w:r>
          </w:p>
        </w:tc>
        <w:tc>
          <w:tcPr>
            <w:tcW w:w="881" w:type="dxa"/>
            <w:tcBorders>
              <w:top w:val="nil"/>
            </w:tcBorders>
            <w:shd w:val="clear" w:color="auto" w:fill="FFFFFF"/>
          </w:tcPr>
          <w:p w14:paraId="6C5D4326" w14:textId="62FCB525" w:rsidR="00776F2D" w:rsidRPr="002B7C6D" w:rsidRDefault="00776F2D" w:rsidP="00776F2D">
            <w:pPr>
              <w:pStyle w:val="CETBodytext"/>
              <w:spacing w:line="240" w:lineRule="auto"/>
              <w:ind w:right="-1"/>
              <w:rPr>
                <w:rFonts w:ascii="Times New Roman" w:eastAsia="DengXian" w:hAnsi="Times New Roman"/>
                <w:sz w:val="20"/>
              </w:rPr>
            </w:pPr>
            <w:r w:rsidRPr="0055799F">
              <w:t>0.9742</w:t>
            </w:r>
          </w:p>
        </w:tc>
      </w:tr>
      <w:tr w:rsidR="00776F2D" w:rsidRPr="006A1FAD" w14:paraId="4842923C" w14:textId="77777777" w:rsidTr="00776F2D">
        <w:tc>
          <w:tcPr>
            <w:tcW w:w="2410" w:type="dxa"/>
            <w:shd w:val="clear" w:color="auto" w:fill="FFFFFF"/>
          </w:tcPr>
          <w:p w14:paraId="42C5A329" w14:textId="4818CC62" w:rsidR="00776F2D" w:rsidRPr="002B7C6D" w:rsidRDefault="00776F2D" w:rsidP="00776F2D">
            <w:pPr>
              <w:pStyle w:val="CETBodytext"/>
              <w:spacing w:line="240" w:lineRule="auto"/>
              <w:ind w:right="-1"/>
              <w:rPr>
                <w:rFonts w:ascii="Times New Roman" w:eastAsia="DengXian" w:hAnsi="Times New Roman"/>
                <w:sz w:val="20"/>
              </w:rPr>
            </w:pPr>
            <w:r w:rsidRPr="007279C9">
              <w:t>Lactic Acid Percentage (%)</w:t>
            </w:r>
          </w:p>
        </w:tc>
        <w:tc>
          <w:tcPr>
            <w:tcW w:w="851" w:type="dxa"/>
            <w:shd w:val="clear" w:color="auto" w:fill="FFFFFF"/>
          </w:tcPr>
          <w:p w14:paraId="05695D34" w14:textId="7A65ADC1" w:rsidR="00776F2D" w:rsidRPr="002B7C6D" w:rsidRDefault="00776F2D" w:rsidP="00776F2D">
            <w:pPr>
              <w:pStyle w:val="CETBodytext"/>
              <w:spacing w:line="240" w:lineRule="auto"/>
              <w:ind w:right="-1"/>
              <w:rPr>
                <w:rFonts w:ascii="Times New Roman" w:eastAsia="DengXian" w:hAnsi="Times New Roman"/>
                <w:sz w:val="20"/>
              </w:rPr>
            </w:pPr>
            <w:r w:rsidRPr="0055799F">
              <w:t>Target</w:t>
            </w:r>
          </w:p>
        </w:tc>
        <w:tc>
          <w:tcPr>
            <w:tcW w:w="708" w:type="dxa"/>
            <w:shd w:val="clear" w:color="auto" w:fill="FFFFFF"/>
          </w:tcPr>
          <w:p w14:paraId="33114000" w14:textId="29C7C35E" w:rsidR="00776F2D" w:rsidRPr="002B7C6D" w:rsidRDefault="00776F2D" w:rsidP="00776F2D">
            <w:pPr>
              <w:pStyle w:val="CETBodytext"/>
              <w:spacing w:line="240" w:lineRule="auto"/>
              <w:ind w:right="-1"/>
              <w:rPr>
                <w:rFonts w:ascii="Times New Roman" w:eastAsia="DengXian" w:hAnsi="Times New Roman"/>
                <w:sz w:val="20"/>
              </w:rPr>
            </w:pPr>
            <w:r w:rsidRPr="0055799F">
              <w:t>0.8</w:t>
            </w:r>
          </w:p>
        </w:tc>
        <w:tc>
          <w:tcPr>
            <w:tcW w:w="993" w:type="dxa"/>
            <w:shd w:val="clear" w:color="auto" w:fill="FFFFFF"/>
          </w:tcPr>
          <w:p w14:paraId="37D10D40" w14:textId="6F9EC988" w:rsidR="00776F2D" w:rsidRPr="002B7C6D" w:rsidRDefault="00776F2D" w:rsidP="00776F2D">
            <w:pPr>
              <w:pStyle w:val="CETBodytext"/>
              <w:spacing w:line="240" w:lineRule="auto"/>
              <w:ind w:right="-1"/>
              <w:rPr>
                <w:rFonts w:ascii="Times New Roman" w:eastAsia="DengXian" w:hAnsi="Times New Roman"/>
                <w:sz w:val="20"/>
              </w:rPr>
            </w:pPr>
            <w:r w:rsidRPr="0055799F">
              <w:t>0.7972</w:t>
            </w:r>
          </w:p>
        </w:tc>
        <w:tc>
          <w:tcPr>
            <w:tcW w:w="1305" w:type="dxa"/>
            <w:shd w:val="clear" w:color="auto" w:fill="FFFFFF"/>
          </w:tcPr>
          <w:p w14:paraId="69F63480" w14:textId="39A66530" w:rsidR="00776F2D" w:rsidRPr="002B7C6D" w:rsidRDefault="00776F2D" w:rsidP="00776F2D">
            <w:pPr>
              <w:pStyle w:val="CETBodytext"/>
              <w:spacing w:line="240" w:lineRule="auto"/>
              <w:ind w:right="-1"/>
              <w:rPr>
                <w:rFonts w:ascii="Times New Roman" w:eastAsia="DengXian" w:hAnsi="Times New Roman"/>
                <w:sz w:val="20"/>
              </w:rPr>
            </w:pPr>
            <w:r w:rsidRPr="0055799F">
              <w:t>0.792</w:t>
            </w:r>
          </w:p>
        </w:tc>
        <w:tc>
          <w:tcPr>
            <w:tcW w:w="1012" w:type="dxa"/>
            <w:shd w:val="clear" w:color="auto" w:fill="FFFFFF"/>
          </w:tcPr>
          <w:p w14:paraId="02E0AA89" w14:textId="78C02860" w:rsidR="00776F2D" w:rsidRPr="0055799F" w:rsidRDefault="00776F2D" w:rsidP="00776F2D">
            <w:pPr>
              <w:pStyle w:val="CETBodytext"/>
              <w:spacing w:line="240" w:lineRule="auto"/>
              <w:ind w:right="-1"/>
            </w:pPr>
            <w:r>
              <w:t xml:space="preserve">  </w:t>
            </w:r>
            <w:r w:rsidRPr="0055799F">
              <w:t>0.66</w:t>
            </w:r>
          </w:p>
        </w:tc>
        <w:tc>
          <w:tcPr>
            <w:tcW w:w="881" w:type="dxa"/>
            <w:shd w:val="clear" w:color="auto" w:fill="FFFFFF"/>
          </w:tcPr>
          <w:p w14:paraId="2549140E" w14:textId="13BE2B14" w:rsidR="00776F2D" w:rsidRPr="002B7C6D" w:rsidRDefault="00776F2D" w:rsidP="00776F2D">
            <w:pPr>
              <w:pStyle w:val="CETBodytext"/>
              <w:spacing w:line="240" w:lineRule="auto"/>
              <w:ind w:right="-1"/>
              <w:rPr>
                <w:rFonts w:ascii="Times New Roman" w:eastAsia="DengXian" w:hAnsi="Times New Roman"/>
                <w:sz w:val="20"/>
              </w:rPr>
            </w:pPr>
            <w:r w:rsidRPr="0055799F">
              <w:t>0.9950</w:t>
            </w:r>
          </w:p>
        </w:tc>
      </w:tr>
    </w:tbl>
    <w:p w14:paraId="446FC5D5" w14:textId="42B86A45" w:rsidR="00BC135D" w:rsidRPr="00B57B36" w:rsidRDefault="00BC135D" w:rsidP="00BC135D">
      <w:pPr>
        <w:pStyle w:val="CETTabletitle"/>
      </w:pPr>
      <w:r w:rsidRPr="00B57B36">
        <w:t xml:space="preserve">Table </w:t>
      </w:r>
      <w:r w:rsidR="005E496A">
        <w:t>2</w:t>
      </w:r>
      <w:r w:rsidRPr="00B57B36">
        <w:t xml:space="preserve">: </w:t>
      </w:r>
      <w:r w:rsidRPr="00BC135D">
        <w:t xml:space="preserve">Microbiological Plate Count </w:t>
      </w:r>
      <w:r w:rsidR="00776F2D">
        <w:t xml:space="preserve">for </w:t>
      </w:r>
      <w:r w:rsidRPr="00BC135D">
        <w:t xml:space="preserve">commercial </w:t>
      </w:r>
      <w:r w:rsidR="00776F2D">
        <w:t xml:space="preserve">and </w:t>
      </w:r>
      <w:r w:rsidR="00776F2D" w:rsidRPr="00BC135D">
        <w:t xml:space="preserve">optimised </w:t>
      </w:r>
      <w:r w:rsidRPr="00BC135D">
        <w:t>tempeh and milk kefir</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13"/>
        <w:gridCol w:w="1270"/>
        <w:gridCol w:w="1061"/>
        <w:gridCol w:w="987"/>
        <w:gridCol w:w="986"/>
        <w:gridCol w:w="986"/>
        <w:gridCol w:w="986"/>
      </w:tblGrid>
      <w:tr w:rsidR="00A91FDA" w:rsidRPr="00B57B36" w14:paraId="10A646B5" w14:textId="77777777" w:rsidTr="006B5B81">
        <w:tc>
          <w:tcPr>
            <w:tcW w:w="2513" w:type="dxa"/>
            <w:vMerge w:val="restart"/>
            <w:tcBorders>
              <w:top w:val="single" w:sz="12" w:space="0" w:color="008000"/>
            </w:tcBorders>
            <w:shd w:val="clear" w:color="auto" w:fill="FFFFFF"/>
            <w:vAlign w:val="center"/>
          </w:tcPr>
          <w:p w14:paraId="0F055A58" w14:textId="34CA9949" w:rsidR="00A91FDA" w:rsidRPr="00B57B36" w:rsidRDefault="00A91FDA" w:rsidP="00A91FDA">
            <w:pPr>
              <w:pStyle w:val="CETBodytext"/>
              <w:rPr>
                <w:lang w:val="en-GB"/>
              </w:rPr>
            </w:pPr>
            <w:r w:rsidRPr="007B17AA">
              <w:rPr>
                <w:i/>
                <w:iCs/>
                <w:lang w:val="en-GB"/>
              </w:rPr>
              <w:t>Tempeh</w:t>
            </w:r>
          </w:p>
        </w:tc>
        <w:tc>
          <w:tcPr>
            <w:tcW w:w="1270" w:type="dxa"/>
            <w:vMerge w:val="restart"/>
            <w:tcBorders>
              <w:top w:val="single" w:sz="12" w:space="0" w:color="008000"/>
            </w:tcBorders>
            <w:shd w:val="clear" w:color="auto" w:fill="FFFFFF"/>
            <w:vAlign w:val="center"/>
          </w:tcPr>
          <w:p w14:paraId="5B678CE7" w14:textId="5B6754B8" w:rsidR="00A91FDA" w:rsidRPr="00B57B36" w:rsidRDefault="00A91FDA" w:rsidP="00A91FDA">
            <w:pPr>
              <w:pStyle w:val="CETBodytext"/>
              <w:rPr>
                <w:lang w:val="en-GB"/>
              </w:rPr>
            </w:pPr>
            <w:r>
              <w:t>Commercial</w:t>
            </w:r>
          </w:p>
        </w:tc>
        <w:tc>
          <w:tcPr>
            <w:tcW w:w="5006" w:type="dxa"/>
            <w:gridSpan w:val="5"/>
            <w:tcBorders>
              <w:top w:val="single" w:sz="12" w:space="0" w:color="008000"/>
              <w:bottom w:val="single" w:sz="6" w:space="0" w:color="008000"/>
            </w:tcBorders>
            <w:shd w:val="clear" w:color="auto" w:fill="FFFFFF"/>
          </w:tcPr>
          <w:p w14:paraId="18EE7FB7" w14:textId="344B8C2E" w:rsidR="00A91FDA" w:rsidRPr="00B57B36" w:rsidRDefault="00A91FDA" w:rsidP="00A91FDA">
            <w:pPr>
              <w:pStyle w:val="CETBodytext"/>
              <w:ind w:right="-1"/>
              <w:rPr>
                <w:rFonts w:cs="Arial"/>
                <w:szCs w:val="18"/>
                <w:lang w:val="en-GB"/>
              </w:rPr>
            </w:pPr>
            <w:r>
              <w:rPr>
                <w:lang w:val="en-GB"/>
              </w:rPr>
              <w:t>Fermentation Time (h) for Optimis</w:t>
            </w:r>
            <w:r w:rsidR="00F36A48">
              <w:rPr>
                <w:lang w:val="en-GB"/>
              </w:rPr>
              <w:t xml:space="preserve">ed </w:t>
            </w:r>
          </w:p>
        </w:tc>
      </w:tr>
      <w:tr w:rsidR="00A91FDA" w:rsidRPr="00B57B36" w14:paraId="1A84B462" w14:textId="77777777" w:rsidTr="006B5B81">
        <w:tc>
          <w:tcPr>
            <w:tcW w:w="2513" w:type="dxa"/>
            <w:vMerge/>
            <w:tcBorders>
              <w:bottom w:val="single" w:sz="6" w:space="0" w:color="008000"/>
            </w:tcBorders>
            <w:shd w:val="clear" w:color="auto" w:fill="FFFFFF"/>
            <w:vAlign w:val="center"/>
          </w:tcPr>
          <w:p w14:paraId="656C7DD7" w14:textId="2A7CC920" w:rsidR="00A91FDA" w:rsidRPr="00B57B36" w:rsidRDefault="00A91FDA" w:rsidP="00A91FDA">
            <w:pPr>
              <w:pStyle w:val="CETBodytext"/>
              <w:rPr>
                <w:lang w:val="en-GB"/>
              </w:rPr>
            </w:pPr>
          </w:p>
        </w:tc>
        <w:tc>
          <w:tcPr>
            <w:tcW w:w="1270" w:type="dxa"/>
            <w:vMerge/>
            <w:tcBorders>
              <w:bottom w:val="single" w:sz="6" w:space="0" w:color="008000"/>
            </w:tcBorders>
            <w:shd w:val="clear" w:color="auto" w:fill="FFFFFF"/>
            <w:vAlign w:val="center"/>
          </w:tcPr>
          <w:p w14:paraId="0E24800B" w14:textId="77777777" w:rsidR="00A91FDA" w:rsidRPr="00B57B36" w:rsidRDefault="00A91FDA" w:rsidP="00A91FDA">
            <w:pPr>
              <w:pStyle w:val="CETBodytext"/>
              <w:rPr>
                <w:lang w:val="en-GB"/>
              </w:rPr>
            </w:pPr>
          </w:p>
        </w:tc>
        <w:tc>
          <w:tcPr>
            <w:tcW w:w="1061" w:type="dxa"/>
            <w:tcBorders>
              <w:top w:val="single" w:sz="6" w:space="0" w:color="008000"/>
              <w:bottom w:val="single" w:sz="6" w:space="0" w:color="008000"/>
            </w:tcBorders>
            <w:shd w:val="clear" w:color="auto" w:fill="FFFFFF"/>
          </w:tcPr>
          <w:p w14:paraId="2950DECB" w14:textId="77777777" w:rsidR="00A91FDA" w:rsidRPr="00B57B36" w:rsidRDefault="00A91FDA" w:rsidP="00A91FDA">
            <w:pPr>
              <w:pStyle w:val="CETBodytext"/>
              <w:rPr>
                <w:lang w:val="en-GB"/>
              </w:rPr>
            </w:pPr>
            <w:r w:rsidRPr="00762A0F">
              <w:t>2</w:t>
            </w:r>
          </w:p>
        </w:tc>
        <w:tc>
          <w:tcPr>
            <w:tcW w:w="987" w:type="dxa"/>
            <w:tcBorders>
              <w:top w:val="single" w:sz="6" w:space="0" w:color="008000"/>
              <w:bottom w:val="single" w:sz="6" w:space="0" w:color="008000"/>
            </w:tcBorders>
            <w:shd w:val="clear" w:color="auto" w:fill="FFFFFF"/>
          </w:tcPr>
          <w:p w14:paraId="1E7FDF73" w14:textId="77777777" w:rsidR="00A91FDA" w:rsidRPr="00762A0F" w:rsidRDefault="00A91FDA" w:rsidP="00A91FDA">
            <w:pPr>
              <w:pStyle w:val="CETBodytext"/>
              <w:ind w:right="-1"/>
            </w:pPr>
            <w:r w:rsidRPr="00762A0F">
              <w:t>16</w:t>
            </w:r>
          </w:p>
        </w:tc>
        <w:tc>
          <w:tcPr>
            <w:tcW w:w="986" w:type="dxa"/>
            <w:tcBorders>
              <w:top w:val="single" w:sz="6" w:space="0" w:color="008000"/>
              <w:bottom w:val="single" w:sz="6" w:space="0" w:color="008000"/>
            </w:tcBorders>
            <w:shd w:val="clear" w:color="auto" w:fill="FFFFFF"/>
          </w:tcPr>
          <w:p w14:paraId="2AAC001E" w14:textId="77777777" w:rsidR="00A91FDA" w:rsidRPr="00B57B36" w:rsidRDefault="00A91FDA" w:rsidP="00A91FDA">
            <w:pPr>
              <w:pStyle w:val="CETBodytext"/>
              <w:ind w:right="-1"/>
              <w:rPr>
                <w:rFonts w:cs="Arial"/>
                <w:szCs w:val="18"/>
                <w:lang w:val="en-GB"/>
              </w:rPr>
            </w:pPr>
            <w:r w:rsidRPr="00762A0F">
              <w:t>32</w:t>
            </w:r>
          </w:p>
        </w:tc>
        <w:tc>
          <w:tcPr>
            <w:tcW w:w="986" w:type="dxa"/>
            <w:tcBorders>
              <w:top w:val="single" w:sz="6" w:space="0" w:color="008000"/>
              <w:bottom w:val="single" w:sz="6" w:space="0" w:color="008000"/>
            </w:tcBorders>
            <w:shd w:val="clear" w:color="auto" w:fill="FFFFFF"/>
          </w:tcPr>
          <w:p w14:paraId="238D415D" w14:textId="77777777" w:rsidR="00A91FDA" w:rsidRPr="00B57B36" w:rsidRDefault="00A91FDA" w:rsidP="00A91FDA">
            <w:pPr>
              <w:pStyle w:val="CETBodytext"/>
              <w:ind w:right="-1"/>
              <w:rPr>
                <w:rFonts w:cs="Arial"/>
                <w:szCs w:val="18"/>
                <w:lang w:val="en-GB"/>
              </w:rPr>
            </w:pPr>
            <w:r w:rsidRPr="00762A0F">
              <w:t>48</w:t>
            </w:r>
          </w:p>
        </w:tc>
        <w:tc>
          <w:tcPr>
            <w:tcW w:w="986" w:type="dxa"/>
            <w:tcBorders>
              <w:top w:val="single" w:sz="6" w:space="0" w:color="008000"/>
              <w:bottom w:val="single" w:sz="6" w:space="0" w:color="008000"/>
            </w:tcBorders>
            <w:shd w:val="clear" w:color="auto" w:fill="FFFFFF"/>
          </w:tcPr>
          <w:p w14:paraId="7D1144AE" w14:textId="77777777" w:rsidR="00A91FDA" w:rsidRPr="00B57B36" w:rsidRDefault="00A91FDA" w:rsidP="00A91FDA">
            <w:pPr>
              <w:pStyle w:val="CETBodytext"/>
              <w:ind w:right="-1"/>
              <w:rPr>
                <w:rFonts w:cs="Arial"/>
                <w:szCs w:val="18"/>
                <w:lang w:val="en-GB"/>
              </w:rPr>
            </w:pPr>
          </w:p>
        </w:tc>
      </w:tr>
      <w:tr w:rsidR="00A91FDA" w:rsidRPr="00B57B36" w14:paraId="76BC6F4F" w14:textId="77777777" w:rsidTr="00A91FDA">
        <w:tc>
          <w:tcPr>
            <w:tcW w:w="2513" w:type="dxa"/>
            <w:shd w:val="clear" w:color="auto" w:fill="FFFFFF"/>
          </w:tcPr>
          <w:p w14:paraId="6D65AD10" w14:textId="214B9C91" w:rsidR="00A91FDA" w:rsidRPr="00B57B36" w:rsidRDefault="00A91FDA" w:rsidP="00A91FDA">
            <w:pPr>
              <w:pStyle w:val="CETBodytext"/>
              <w:rPr>
                <w:lang w:val="en-GB"/>
              </w:rPr>
            </w:pPr>
            <w:r w:rsidRPr="00791774">
              <w:t>Aerobic Plate Counts</w:t>
            </w:r>
          </w:p>
        </w:tc>
        <w:tc>
          <w:tcPr>
            <w:tcW w:w="1270" w:type="dxa"/>
            <w:shd w:val="clear" w:color="auto" w:fill="FFFFFF"/>
          </w:tcPr>
          <w:p w14:paraId="70AD2922" w14:textId="6E3E3E28" w:rsidR="00A91FDA" w:rsidRPr="00B57B36" w:rsidRDefault="00A91FDA" w:rsidP="00A91FDA">
            <w:pPr>
              <w:pStyle w:val="CETBodytext"/>
              <w:rPr>
                <w:lang w:val="en-GB"/>
              </w:rPr>
            </w:pPr>
            <w:r w:rsidRPr="00791774">
              <w:t>6.2 x 10</w:t>
            </w:r>
            <w:r w:rsidRPr="00623A4B">
              <w:rPr>
                <w:vertAlign w:val="superscript"/>
              </w:rPr>
              <w:t>6</w:t>
            </w:r>
            <w:r w:rsidRPr="00791774">
              <w:t xml:space="preserve"> </w:t>
            </w:r>
          </w:p>
        </w:tc>
        <w:tc>
          <w:tcPr>
            <w:tcW w:w="1061" w:type="dxa"/>
            <w:shd w:val="clear" w:color="auto" w:fill="FFFFFF"/>
          </w:tcPr>
          <w:p w14:paraId="3E0FF3F7" w14:textId="05F242DC" w:rsidR="00A91FDA" w:rsidRPr="00B57B36" w:rsidRDefault="00A91FDA" w:rsidP="00A91FDA">
            <w:pPr>
              <w:pStyle w:val="CETBodytext"/>
              <w:rPr>
                <w:lang w:val="en-GB"/>
              </w:rPr>
            </w:pPr>
            <w:r w:rsidRPr="00791774">
              <w:t>2.3 x 10</w:t>
            </w:r>
            <w:r w:rsidRPr="00623A4B">
              <w:rPr>
                <w:vertAlign w:val="superscript"/>
              </w:rPr>
              <w:t>4</w:t>
            </w:r>
          </w:p>
        </w:tc>
        <w:tc>
          <w:tcPr>
            <w:tcW w:w="987" w:type="dxa"/>
            <w:shd w:val="clear" w:color="auto" w:fill="FFFFFF"/>
          </w:tcPr>
          <w:p w14:paraId="0F782A95" w14:textId="3429B180" w:rsidR="00A91FDA" w:rsidRPr="00791774" w:rsidRDefault="00A91FDA" w:rsidP="00A91FDA">
            <w:pPr>
              <w:pStyle w:val="CETBodytext"/>
              <w:ind w:right="-1"/>
            </w:pPr>
            <w:r w:rsidRPr="00791774">
              <w:t>7.3 x 10</w:t>
            </w:r>
            <w:r w:rsidRPr="00623A4B">
              <w:rPr>
                <w:vertAlign w:val="superscript"/>
              </w:rPr>
              <w:t>7</w:t>
            </w:r>
          </w:p>
        </w:tc>
        <w:tc>
          <w:tcPr>
            <w:tcW w:w="986" w:type="dxa"/>
            <w:shd w:val="clear" w:color="auto" w:fill="FFFFFF"/>
          </w:tcPr>
          <w:p w14:paraId="050F12E4" w14:textId="3E8B3D36" w:rsidR="00A91FDA" w:rsidRPr="00B57B36" w:rsidRDefault="00A91FDA" w:rsidP="00A91FDA">
            <w:pPr>
              <w:pStyle w:val="CETBodytext"/>
              <w:ind w:right="-1"/>
              <w:rPr>
                <w:rFonts w:cs="Arial"/>
                <w:szCs w:val="18"/>
                <w:lang w:val="en-GB"/>
              </w:rPr>
            </w:pPr>
            <w:r w:rsidRPr="00791774">
              <w:t>5.0 x 10</w:t>
            </w:r>
            <w:r w:rsidRPr="00623A4B">
              <w:rPr>
                <w:vertAlign w:val="superscript"/>
              </w:rPr>
              <w:t>8</w:t>
            </w:r>
          </w:p>
        </w:tc>
        <w:tc>
          <w:tcPr>
            <w:tcW w:w="986" w:type="dxa"/>
            <w:shd w:val="clear" w:color="auto" w:fill="FFFFFF"/>
          </w:tcPr>
          <w:p w14:paraId="3497CDB7" w14:textId="7EB825EB" w:rsidR="00A91FDA" w:rsidRPr="000D03F7" w:rsidRDefault="00A91FDA" w:rsidP="00A91FDA">
            <w:pPr>
              <w:pStyle w:val="CETBodytext"/>
              <w:ind w:right="-1"/>
            </w:pPr>
            <w:r w:rsidRPr="00791774">
              <w:t>1.6 x 10</w:t>
            </w:r>
            <w:r w:rsidRPr="00623A4B">
              <w:rPr>
                <w:vertAlign w:val="superscript"/>
              </w:rPr>
              <w:t>9</w:t>
            </w:r>
          </w:p>
        </w:tc>
        <w:tc>
          <w:tcPr>
            <w:tcW w:w="986" w:type="dxa"/>
            <w:shd w:val="clear" w:color="auto" w:fill="FFFFFF"/>
          </w:tcPr>
          <w:p w14:paraId="2E54653C" w14:textId="7C9A1A58" w:rsidR="00A91FDA" w:rsidRPr="00B57B36" w:rsidRDefault="00A91FDA" w:rsidP="00A91FDA">
            <w:pPr>
              <w:pStyle w:val="CETBodytext"/>
              <w:ind w:right="-1"/>
              <w:rPr>
                <w:rFonts w:cs="Arial"/>
                <w:szCs w:val="18"/>
                <w:lang w:val="en-GB"/>
              </w:rPr>
            </w:pPr>
          </w:p>
        </w:tc>
      </w:tr>
      <w:tr w:rsidR="00A91FDA" w:rsidRPr="00B57B36" w14:paraId="528A1BF5" w14:textId="77777777" w:rsidTr="00A91FDA">
        <w:tc>
          <w:tcPr>
            <w:tcW w:w="2513" w:type="dxa"/>
            <w:shd w:val="clear" w:color="auto" w:fill="FFFFFF"/>
          </w:tcPr>
          <w:p w14:paraId="3607129A" w14:textId="07DBB457" w:rsidR="00A91FDA" w:rsidRPr="00B57B36" w:rsidRDefault="00A91FDA" w:rsidP="00A91FDA">
            <w:pPr>
              <w:pStyle w:val="CETBodytext"/>
              <w:rPr>
                <w:lang w:val="en-GB"/>
              </w:rPr>
            </w:pPr>
            <w:r w:rsidRPr="00791774">
              <w:t>Lactic Acid Bacteria</w:t>
            </w:r>
          </w:p>
        </w:tc>
        <w:tc>
          <w:tcPr>
            <w:tcW w:w="1270" w:type="dxa"/>
            <w:shd w:val="clear" w:color="auto" w:fill="FFFFFF"/>
          </w:tcPr>
          <w:p w14:paraId="48615CCF" w14:textId="739F147C" w:rsidR="00A91FDA" w:rsidRPr="00B57B36" w:rsidRDefault="00A91FDA" w:rsidP="00A91FDA">
            <w:pPr>
              <w:pStyle w:val="CETBodytext"/>
              <w:rPr>
                <w:lang w:val="en-GB"/>
              </w:rPr>
            </w:pPr>
            <w:r w:rsidRPr="00791774">
              <w:t>2.4 x 10</w:t>
            </w:r>
            <w:r w:rsidRPr="00623A4B">
              <w:rPr>
                <w:vertAlign w:val="superscript"/>
              </w:rPr>
              <w:t>7</w:t>
            </w:r>
          </w:p>
        </w:tc>
        <w:tc>
          <w:tcPr>
            <w:tcW w:w="1061" w:type="dxa"/>
            <w:shd w:val="clear" w:color="auto" w:fill="FFFFFF"/>
          </w:tcPr>
          <w:p w14:paraId="5A325A3F" w14:textId="48D45AF7" w:rsidR="00A91FDA" w:rsidRPr="00B57B36" w:rsidRDefault="00A91FDA" w:rsidP="00A91FDA">
            <w:pPr>
              <w:pStyle w:val="CETBodytext"/>
              <w:rPr>
                <w:lang w:val="en-GB"/>
              </w:rPr>
            </w:pPr>
            <w:r w:rsidRPr="00791774">
              <w:t>1.5 x 10</w:t>
            </w:r>
            <w:r w:rsidRPr="00623A4B">
              <w:rPr>
                <w:vertAlign w:val="superscript"/>
              </w:rPr>
              <w:t>4</w:t>
            </w:r>
          </w:p>
        </w:tc>
        <w:tc>
          <w:tcPr>
            <w:tcW w:w="987" w:type="dxa"/>
            <w:shd w:val="clear" w:color="auto" w:fill="FFFFFF"/>
          </w:tcPr>
          <w:p w14:paraId="5EA115B1" w14:textId="79939863" w:rsidR="00A91FDA" w:rsidRPr="00791774" w:rsidRDefault="00A91FDA" w:rsidP="00A91FDA">
            <w:pPr>
              <w:pStyle w:val="CETBodytext"/>
              <w:ind w:right="-1"/>
            </w:pPr>
            <w:r w:rsidRPr="00791774">
              <w:t>4.3 x 10</w:t>
            </w:r>
            <w:r w:rsidRPr="00623A4B">
              <w:rPr>
                <w:vertAlign w:val="superscript"/>
              </w:rPr>
              <w:t>7</w:t>
            </w:r>
          </w:p>
        </w:tc>
        <w:tc>
          <w:tcPr>
            <w:tcW w:w="986" w:type="dxa"/>
            <w:shd w:val="clear" w:color="auto" w:fill="FFFFFF"/>
          </w:tcPr>
          <w:p w14:paraId="58BD160D" w14:textId="2E49FD16" w:rsidR="00A91FDA" w:rsidRPr="00B57B36" w:rsidRDefault="00A91FDA" w:rsidP="00A91FDA">
            <w:pPr>
              <w:pStyle w:val="CETBodytext"/>
              <w:ind w:right="-1"/>
              <w:rPr>
                <w:rFonts w:cs="Arial"/>
                <w:szCs w:val="18"/>
                <w:lang w:val="en-GB"/>
              </w:rPr>
            </w:pPr>
            <w:r w:rsidRPr="00791774">
              <w:t>6.1 x 10</w:t>
            </w:r>
            <w:r w:rsidRPr="00623A4B">
              <w:rPr>
                <w:vertAlign w:val="superscript"/>
              </w:rPr>
              <w:t>7</w:t>
            </w:r>
          </w:p>
        </w:tc>
        <w:tc>
          <w:tcPr>
            <w:tcW w:w="986" w:type="dxa"/>
            <w:shd w:val="clear" w:color="auto" w:fill="FFFFFF"/>
          </w:tcPr>
          <w:p w14:paraId="3F4670E6" w14:textId="677EF6DA" w:rsidR="00A91FDA" w:rsidRPr="000D03F7" w:rsidRDefault="00A91FDA" w:rsidP="00A91FDA">
            <w:pPr>
              <w:pStyle w:val="CETBodytext"/>
              <w:ind w:right="-1"/>
            </w:pPr>
            <w:r w:rsidRPr="00791774">
              <w:t>6.3 x 10</w:t>
            </w:r>
            <w:r w:rsidRPr="00623A4B">
              <w:rPr>
                <w:vertAlign w:val="superscript"/>
              </w:rPr>
              <w:t>7</w:t>
            </w:r>
          </w:p>
        </w:tc>
        <w:tc>
          <w:tcPr>
            <w:tcW w:w="986" w:type="dxa"/>
            <w:shd w:val="clear" w:color="auto" w:fill="FFFFFF"/>
          </w:tcPr>
          <w:p w14:paraId="6903D187" w14:textId="2710FF3D" w:rsidR="00A91FDA" w:rsidRPr="00B57B36" w:rsidRDefault="00A91FDA" w:rsidP="00A91FDA">
            <w:pPr>
              <w:pStyle w:val="CETBodytext"/>
              <w:ind w:right="-1"/>
              <w:rPr>
                <w:rFonts w:cs="Arial"/>
                <w:szCs w:val="18"/>
                <w:lang w:val="en-GB"/>
              </w:rPr>
            </w:pPr>
          </w:p>
        </w:tc>
      </w:tr>
      <w:tr w:rsidR="00A91FDA" w:rsidRPr="00B57B36" w14:paraId="3F740D11" w14:textId="77777777" w:rsidTr="00A91FDA">
        <w:tc>
          <w:tcPr>
            <w:tcW w:w="2513" w:type="dxa"/>
            <w:tcBorders>
              <w:bottom w:val="nil"/>
            </w:tcBorders>
            <w:shd w:val="clear" w:color="auto" w:fill="FFFFFF"/>
          </w:tcPr>
          <w:p w14:paraId="175F5FC5" w14:textId="1C6BC5ED" w:rsidR="00A91FDA" w:rsidRPr="00B57B36" w:rsidRDefault="00A91FDA" w:rsidP="00A91FDA">
            <w:pPr>
              <w:pStyle w:val="CETBodytext"/>
              <w:rPr>
                <w:lang w:val="en-GB"/>
              </w:rPr>
            </w:pPr>
            <w:r w:rsidRPr="00791774">
              <w:t>Mold</w:t>
            </w:r>
          </w:p>
        </w:tc>
        <w:tc>
          <w:tcPr>
            <w:tcW w:w="1270" w:type="dxa"/>
            <w:tcBorders>
              <w:bottom w:val="nil"/>
            </w:tcBorders>
            <w:shd w:val="clear" w:color="auto" w:fill="FFFFFF"/>
          </w:tcPr>
          <w:p w14:paraId="40E9D345" w14:textId="208925B0" w:rsidR="00A91FDA" w:rsidRPr="00B57B36" w:rsidRDefault="00A91FDA" w:rsidP="00A91FDA">
            <w:pPr>
              <w:pStyle w:val="CETBodytext"/>
              <w:rPr>
                <w:lang w:val="en-GB"/>
              </w:rPr>
            </w:pPr>
            <w:r w:rsidRPr="00791774">
              <w:t>1.1 x 10</w:t>
            </w:r>
            <w:r w:rsidRPr="00623A4B">
              <w:rPr>
                <w:vertAlign w:val="superscript"/>
              </w:rPr>
              <w:t>5</w:t>
            </w:r>
            <w:r w:rsidRPr="00791774">
              <w:t xml:space="preserve"> </w:t>
            </w:r>
          </w:p>
        </w:tc>
        <w:tc>
          <w:tcPr>
            <w:tcW w:w="1061" w:type="dxa"/>
            <w:tcBorders>
              <w:bottom w:val="nil"/>
            </w:tcBorders>
            <w:shd w:val="clear" w:color="auto" w:fill="FFFFFF"/>
          </w:tcPr>
          <w:p w14:paraId="655ADB93" w14:textId="2DEB937D" w:rsidR="00A91FDA" w:rsidRPr="00B57B36" w:rsidRDefault="00A91FDA" w:rsidP="00A91FDA">
            <w:pPr>
              <w:pStyle w:val="CETBodytext"/>
              <w:rPr>
                <w:lang w:val="en-GB"/>
              </w:rPr>
            </w:pPr>
            <w:proofErr w:type="gramStart"/>
            <w:r w:rsidRPr="00791774">
              <w:t>NG(</w:t>
            </w:r>
            <w:proofErr w:type="gramEnd"/>
            <w:r w:rsidRPr="00791774">
              <w:t>&lt;10)</w:t>
            </w:r>
          </w:p>
        </w:tc>
        <w:tc>
          <w:tcPr>
            <w:tcW w:w="987" w:type="dxa"/>
            <w:tcBorders>
              <w:bottom w:val="nil"/>
            </w:tcBorders>
            <w:shd w:val="clear" w:color="auto" w:fill="FFFFFF"/>
          </w:tcPr>
          <w:p w14:paraId="3674DE69" w14:textId="0CD0FC70" w:rsidR="00A91FDA" w:rsidRPr="00791774" w:rsidRDefault="00A91FDA" w:rsidP="00A91FDA">
            <w:pPr>
              <w:pStyle w:val="CETBodytext"/>
              <w:ind w:right="-1"/>
            </w:pPr>
            <w:r w:rsidRPr="00791774">
              <w:t>3.3 x 10</w:t>
            </w:r>
            <w:r w:rsidRPr="00623A4B">
              <w:rPr>
                <w:vertAlign w:val="superscript"/>
              </w:rPr>
              <w:t>2</w:t>
            </w:r>
          </w:p>
        </w:tc>
        <w:tc>
          <w:tcPr>
            <w:tcW w:w="986" w:type="dxa"/>
            <w:tcBorders>
              <w:bottom w:val="nil"/>
            </w:tcBorders>
            <w:shd w:val="clear" w:color="auto" w:fill="FFFFFF"/>
          </w:tcPr>
          <w:p w14:paraId="69A68A9D" w14:textId="4871161A" w:rsidR="00A91FDA" w:rsidRPr="00B57B36" w:rsidRDefault="00A91FDA" w:rsidP="00A91FDA">
            <w:pPr>
              <w:pStyle w:val="CETBodytext"/>
              <w:ind w:right="-1"/>
              <w:rPr>
                <w:rFonts w:cs="Arial"/>
                <w:szCs w:val="18"/>
                <w:lang w:val="en-GB"/>
              </w:rPr>
            </w:pPr>
            <w:r w:rsidRPr="00791774">
              <w:t>4.6 x 10</w:t>
            </w:r>
            <w:r w:rsidRPr="00623A4B">
              <w:rPr>
                <w:vertAlign w:val="superscript"/>
              </w:rPr>
              <w:t>2</w:t>
            </w:r>
          </w:p>
        </w:tc>
        <w:tc>
          <w:tcPr>
            <w:tcW w:w="986" w:type="dxa"/>
            <w:tcBorders>
              <w:bottom w:val="nil"/>
            </w:tcBorders>
            <w:shd w:val="clear" w:color="auto" w:fill="FFFFFF"/>
          </w:tcPr>
          <w:p w14:paraId="3FA3D920" w14:textId="3569ACE0" w:rsidR="00A91FDA" w:rsidRPr="000D03F7" w:rsidRDefault="00A91FDA" w:rsidP="00A91FDA">
            <w:pPr>
              <w:pStyle w:val="CETBodytext"/>
              <w:ind w:right="-1"/>
            </w:pPr>
            <w:r w:rsidRPr="00791774">
              <w:t>7.2 x 10</w:t>
            </w:r>
            <w:r w:rsidRPr="00623A4B">
              <w:rPr>
                <w:vertAlign w:val="superscript"/>
              </w:rPr>
              <w:t>3</w:t>
            </w:r>
          </w:p>
        </w:tc>
        <w:tc>
          <w:tcPr>
            <w:tcW w:w="986" w:type="dxa"/>
            <w:tcBorders>
              <w:bottom w:val="nil"/>
            </w:tcBorders>
            <w:shd w:val="clear" w:color="auto" w:fill="FFFFFF"/>
          </w:tcPr>
          <w:p w14:paraId="35209EAC" w14:textId="2FD159F7" w:rsidR="00A91FDA" w:rsidRPr="00B57B36" w:rsidRDefault="00A91FDA" w:rsidP="00A91FDA">
            <w:pPr>
              <w:pStyle w:val="CETBodytext"/>
              <w:ind w:right="-1"/>
              <w:rPr>
                <w:rFonts w:cs="Arial"/>
                <w:szCs w:val="18"/>
                <w:lang w:val="en-GB"/>
              </w:rPr>
            </w:pPr>
          </w:p>
        </w:tc>
      </w:tr>
      <w:tr w:rsidR="00A91FDA" w:rsidRPr="00B57B36" w14:paraId="324557E8" w14:textId="77777777" w:rsidTr="00A91FDA">
        <w:tc>
          <w:tcPr>
            <w:tcW w:w="2513" w:type="dxa"/>
            <w:tcBorders>
              <w:top w:val="nil"/>
              <w:bottom w:val="single" w:sz="6" w:space="0" w:color="008000"/>
            </w:tcBorders>
            <w:shd w:val="clear" w:color="auto" w:fill="FFFFFF"/>
          </w:tcPr>
          <w:p w14:paraId="6226242F" w14:textId="0A86B881" w:rsidR="00A91FDA" w:rsidRPr="00B57B36" w:rsidRDefault="00A91FDA" w:rsidP="00A91FDA">
            <w:pPr>
              <w:pStyle w:val="CETBodytext"/>
              <w:rPr>
                <w:lang w:val="en-GB"/>
              </w:rPr>
            </w:pPr>
            <w:r w:rsidRPr="00791774">
              <w:t>Yeast</w:t>
            </w:r>
          </w:p>
        </w:tc>
        <w:tc>
          <w:tcPr>
            <w:tcW w:w="1270" w:type="dxa"/>
            <w:tcBorders>
              <w:top w:val="nil"/>
              <w:bottom w:val="single" w:sz="6" w:space="0" w:color="008000"/>
            </w:tcBorders>
            <w:shd w:val="clear" w:color="auto" w:fill="FFFFFF"/>
          </w:tcPr>
          <w:p w14:paraId="6C470533" w14:textId="3782C72D" w:rsidR="00A91FDA" w:rsidRPr="00B57B36" w:rsidRDefault="00A91FDA" w:rsidP="00A91FDA">
            <w:pPr>
              <w:pStyle w:val="CETBodytext"/>
              <w:rPr>
                <w:lang w:val="en-GB"/>
              </w:rPr>
            </w:pPr>
            <w:proofErr w:type="gramStart"/>
            <w:r w:rsidRPr="00791774">
              <w:t>NG(</w:t>
            </w:r>
            <w:proofErr w:type="gramEnd"/>
            <w:r w:rsidRPr="00791774">
              <w:t>&lt;10)</w:t>
            </w:r>
          </w:p>
        </w:tc>
        <w:tc>
          <w:tcPr>
            <w:tcW w:w="1061" w:type="dxa"/>
            <w:tcBorders>
              <w:top w:val="nil"/>
              <w:bottom w:val="single" w:sz="6" w:space="0" w:color="008000"/>
            </w:tcBorders>
            <w:shd w:val="clear" w:color="auto" w:fill="FFFFFF"/>
          </w:tcPr>
          <w:p w14:paraId="7B9F6578" w14:textId="74A38262" w:rsidR="00A91FDA" w:rsidRPr="00B57B36" w:rsidRDefault="00A91FDA" w:rsidP="00A91FDA">
            <w:pPr>
              <w:pStyle w:val="CETBodytext"/>
              <w:rPr>
                <w:lang w:val="en-GB"/>
              </w:rPr>
            </w:pPr>
            <w:proofErr w:type="gramStart"/>
            <w:r w:rsidRPr="00791774">
              <w:t>NG(</w:t>
            </w:r>
            <w:proofErr w:type="gramEnd"/>
            <w:r w:rsidRPr="00791774">
              <w:t>&lt;10)</w:t>
            </w:r>
          </w:p>
        </w:tc>
        <w:tc>
          <w:tcPr>
            <w:tcW w:w="987" w:type="dxa"/>
            <w:tcBorders>
              <w:top w:val="nil"/>
              <w:bottom w:val="single" w:sz="6" w:space="0" w:color="008000"/>
            </w:tcBorders>
            <w:shd w:val="clear" w:color="auto" w:fill="FFFFFF"/>
          </w:tcPr>
          <w:p w14:paraId="5FDF12C2" w14:textId="3219E784" w:rsidR="00A91FDA" w:rsidRPr="00791774" w:rsidRDefault="00A91FDA" w:rsidP="00A91FDA">
            <w:pPr>
              <w:pStyle w:val="CETBodytext"/>
              <w:ind w:right="-1"/>
            </w:pPr>
            <w:proofErr w:type="gramStart"/>
            <w:r w:rsidRPr="00791774">
              <w:t>NG(</w:t>
            </w:r>
            <w:proofErr w:type="gramEnd"/>
            <w:r w:rsidRPr="00791774">
              <w:t>&lt;10)</w:t>
            </w:r>
          </w:p>
        </w:tc>
        <w:tc>
          <w:tcPr>
            <w:tcW w:w="986" w:type="dxa"/>
            <w:tcBorders>
              <w:top w:val="nil"/>
              <w:bottom w:val="single" w:sz="6" w:space="0" w:color="008000"/>
            </w:tcBorders>
            <w:shd w:val="clear" w:color="auto" w:fill="FFFFFF"/>
          </w:tcPr>
          <w:p w14:paraId="2D0494D2" w14:textId="26D37A23" w:rsidR="00A91FDA" w:rsidRPr="00B57B36" w:rsidRDefault="00A91FDA" w:rsidP="00A91FDA">
            <w:pPr>
              <w:pStyle w:val="CETBodytext"/>
              <w:ind w:right="-1"/>
              <w:rPr>
                <w:rFonts w:cs="Arial"/>
                <w:szCs w:val="18"/>
                <w:lang w:val="en-GB"/>
              </w:rPr>
            </w:pPr>
            <w:proofErr w:type="gramStart"/>
            <w:r w:rsidRPr="00791774">
              <w:t>NG(</w:t>
            </w:r>
            <w:proofErr w:type="gramEnd"/>
            <w:r w:rsidRPr="00791774">
              <w:t>&lt;10)</w:t>
            </w:r>
          </w:p>
        </w:tc>
        <w:tc>
          <w:tcPr>
            <w:tcW w:w="986" w:type="dxa"/>
            <w:tcBorders>
              <w:top w:val="nil"/>
              <w:bottom w:val="single" w:sz="6" w:space="0" w:color="008000"/>
            </w:tcBorders>
            <w:shd w:val="clear" w:color="auto" w:fill="FFFFFF"/>
          </w:tcPr>
          <w:p w14:paraId="619E5E68" w14:textId="1A01599F" w:rsidR="00A91FDA" w:rsidRPr="000D03F7" w:rsidRDefault="00A91FDA" w:rsidP="00A91FDA">
            <w:pPr>
              <w:pStyle w:val="CETBodytext"/>
              <w:ind w:right="-1"/>
            </w:pPr>
            <w:proofErr w:type="gramStart"/>
            <w:r w:rsidRPr="00791774">
              <w:t>NG(</w:t>
            </w:r>
            <w:proofErr w:type="gramEnd"/>
            <w:r w:rsidRPr="00791774">
              <w:t>&lt;10)</w:t>
            </w:r>
          </w:p>
        </w:tc>
        <w:tc>
          <w:tcPr>
            <w:tcW w:w="986" w:type="dxa"/>
            <w:tcBorders>
              <w:top w:val="nil"/>
              <w:bottom w:val="single" w:sz="6" w:space="0" w:color="008000"/>
            </w:tcBorders>
            <w:shd w:val="clear" w:color="auto" w:fill="FFFFFF"/>
          </w:tcPr>
          <w:p w14:paraId="23CE093E" w14:textId="6889AAED" w:rsidR="00A91FDA" w:rsidRPr="00B57B36" w:rsidRDefault="00A91FDA" w:rsidP="00A91FDA">
            <w:pPr>
              <w:pStyle w:val="CETBodytext"/>
              <w:ind w:right="-1"/>
              <w:rPr>
                <w:rFonts w:cs="Arial"/>
                <w:szCs w:val="18"/>
                <w:lang w:val="en-GB"/>
              </w:rPr>
            </w:pPr>
          </w:p>
        </w:tc>
      </w:tr>
      <w:tr w:rsidR="00A91FDA" w:rsidRPr="00B57B36" w14:paraId="13AF2359" w14:textId="77777777" w:rsidTr="00A91FDA">
        <w:tc>
          <w:tcPr>
            <w:tcW w:w="2513" w:type="dxa"/>
            <w:vMerge w:val="restart"/>
            <w:tcBorders>
              <w:top w:val="single" w:sz="6" w:space="0" w:color="008000"/>
            </w:tcBorders>
            <w:shd w:val="clear" w:color="auto" w:fill="FFFFFF"/>
            <w:vAlign w:val="center"/>
          </w:tcPr>
          <w:p w14:paraId="44D637FA" w14:textId="53BE48AC" w:rsidR="00A91FDA" w:rsidRDefault="00A91FDA" w:rsidP="00A91FDA">
            <w:pPr>
              <w:pStyle w:val="CETBodytext"/>
              <w:rPr>
                <w:lang w:val="en-GB"/>
              </w:rPr>
            </w:pPr>
            <w:r>
              <w:t>Milk Kefir</w:t>
            </w:r>
          </w:p>
        </w:tc>
        <w:tc>
          <w:tcPr>
            <w:tcW w:w="1270" w:type="dxa"/>
            <w:vMerge w:val="restart"/>
            <w:tcBorders>
              <w:top w:val="single" w:sz="6" w:space="0" w:color="008000"/>
            </w:tcBorders>
            <w:shd w:val="clear" w:color="auto" w:fill="FFFFFF"/>
            <w:vAlign w:val="center"/>
          </w:tcPr>
          <w:p w14:paraId="692E4F67" w14:textId="2FBB0949" w:rsidR="00A91FDA" w:rsidRPr="00B57B36" w:rsidRDefault="00A91FDA" w:rsidP="00A91FDA">
            <w:pPr>
              <w:pStyle w:val="CETBodytext"/>
              <w:rPr>
                <w:lang w:val="en-GB"/>
              </w:rPr>
            </w:pPr>
            <w:r>
              <w:rPr>
                <w:lang w:val="en-GB"/>
              </w:rPr>
              <w:t>Commercial</w:t>
            </w:r>
          </w:p>
        </w:tc>
        <w:tc>
          <w:tcPr>
            <w:tcW w:w="5006" w:type="dxa"/>
            <w:gridSpan w:val="5"/>
            <w:tcBorders>
              <w:top w:val="single" w:sz="6" w:space="0" w:color="008000"/>
              <w:bottom w:val="single" w:sz="6" w:space="0" w:color="008000"/>
            </w:tcBorders>
            <w:shd w:val="clear" w:color="auto" w:fill="FFFFFF"/>
          </w:tcPr>
          <w:p w14:paraId="369F2DDC" w14:textId="5F204F6C" w:rsidR="00A91FDA" w:rsidRPr="00BC135D" w:rsidRDefault="00A91FDA" w:rsidP="00A91FDA">
            <w:pPr>
              <w:pStyle w:val="CETBodytext"/>
              <w:ind w:right="-1"/>
            </w:pPr>
            <w:r>
              <w:rPr>
                <w:lang w:val="en-GB"/>
              </w:rPr>
              <w:t>Fermentation Time (h) for Optimis</w:t>
            </w:r>
            <w:r w:rsidR="00F36A48">
              <w:rPr>
                <w:lang w:val="en-GB"/>
              </w:rPr>
              <w:t>ed</w:t>
            </w:r>
          </w:p>
        </w:tc>
      </w:tr>
      <w:tr w:rsidR="00A91FDA" w:rsidRPr="00B57B36" w14:paraId="75BF4B55" w14:textId="77777777" w:rsidTr="00A91FDA">
        <w:tc>
          <w:tcPr>
            <w:tcW w:w="2513" w:type="dxa"/>
            <w:vMerge/>
            <w:tcBorders>
              <w:bottom w:val="single" w:sz="6" w:space="0" w:color="008000"/>
            </w:tcBorders>
            <w:shd w:val="clear" w:color="auto" w:fill="FFFFFF"/>
          </w:tcPr>
          <w:p w14:paraId="09DA3934" w14:textId="23693DB6" w:rsidR="00A91FDA" w:rsidRPr="00B57B36" w:rsidRDefault="00A91FDA" w:rsidP="00A91FDA">
            <w:pPr>
              <w:pStyle w:val="CETBodytext"/>
              <w:rPr>
                <w:lang w:val="en-GB"/>
              </w:rPr>
            </w:pPr>
          </w:p>
        </w:tc>
        <w:tc>
          <w:tcPr>
            <w:tcW w:w="1270" w:type="dxa"/>
            <w:vMerge/>
            <w:tcBorders>
              <w:bottom w:val="single" w:sz="6" w:space="0" w:color="008000"/>
            </w:tcBorders>
            <w:shd w:val="clear" w:color="auto" w:fill="FFFFFF"/>
          </w:tcPr>
          <w:p w14:paraId="13D12702" w14:textId="77777777" w:rsidR="00A91FDA" w:rsidRPr="00B57B36" w:rsidRDefault="00A91FDA" w:rsidP="00A91FDA">
            <w:pPr>
              <w:pStyle w:val="CETBodytext"/>
              <w:rPr>
                <w:lang w:val="en-GB"/>
              </w:rPr>
            </w:pPr>
          </w:p>
        </w:tc>
        <w:tc>
          <w:tcPr>
            <w:tcW w:w="1061" w:type="dxa"/>
            <w:tcBorders>
              <w:top w:val="single" w:sz="6" w:space="0" w:color="008000"/>
              <w:bottom w:val="single" w:sz="6" w:space="0" w:color="008000"/>
            </w:tcBorders>
            <w:shd w:val="clear" w:color="auto" w:fill="FFFFFF"/>
          </w:tcPr>
          <w:p w14:paraId="59D22428" w14:textId="35597A8B" w:rsidR="00A91FDA" w:rsidRPr="00BC135D" w:rsidRDefault="00A91FDA" w:rsidP="00A91FDA">
            <w:pPr>
              <w:pStyle w:val="CETBodytext"/>
            </w:pPr>
            <w:r w:rsidRPr="00BC135D">
              <w:t>0</w:t>
            </w:r>
          </w:p>
        </w:tc>
        <w:tc>
          <w:tcPr>
            <w:tcW w:w="987" w:type="dxa"/>
            <w:tcBorders>
              <w:top w:val="single" w:sz="6" w:space="0" w:color="008000"/>
              <w:bottom w:val="single" w:sz="6" w:space="0" w:color="008000"/>
            </w:tcBorders>
            <w:shd w:val="clear" w:color="auto" w:fill="FFFFFF"/>
          </w:tcPr>
          <w:p w14:paraId="199692E6" w14:textId="6D93DF63" w:rsidR="00A91FDA" w:rsidRPr="00762A0F" w:rsidRDefault="00A91FDA" w:rsidP="00A91FDA">
            <w:pPr>
              <w:pStyle w:val="CETBodytext"/>
              <w:ind w:right="-1"/>
            </w:pPr>
            <w:r w:rsidRPr="00BC135D">
              <w:t>2</w:t>
            </w:r>
          </w:p>
        </w:tc>
        <w:tc>
          <w:tcPr>
            <w:tcW w:w="986" w:type="dxa"/>
            <w:tcBorders>
              <w:top w:val="single" w:sz="6" w:space="0" w:color="008000"/>
              <w:bottom w:val="single" w:sz="6" w:space="0" w:color="008000"/>
            </w:tcBorders>
            <w:shd w:val="clear" w:color="auto" w:fill="FFFFFF"/>
          </w:tcPr>
          <w:p w14:paraId="6DC207B7" w14:textId="29E80CDB" w:rsidR="00A91FDA" w:rsidRPr="00BC135D" w:rsidRDefault="00A91FDA" w:rsidP="00A91FDA">
            <w:pPr>
              <w:pStyle w:val="CETBodytext"/>
              <w:ind w:right="-1"/>
            </w:pPr>
            <w:r w:rsidRPr="00BC135D">
              <w:t>5</w:t>
            </w:r>
          </w:p>
        </w:tc>
        <w:tc>
          <w:tcPr>
            <w:tcW w:w="986" w:type="dxa"/>
            <w:tcBorders>
              <w:top w:val="single" w:sz="6" w:space="0" w:color="008000"/>
              <w:bottom w:val="single" w:sz="6" w:space="0" w:color="008000"/>
            </w:tcBorders>
            <w:shd w:val="clear" w:color="auto" w:fill="FFFFFF"/>
          </w:tcPr>
          <w:p w14:paraId="47AEFAFB" w14:textId="6E874133" w:rsidR="00A91FDA" w:rsidRPr="00BC135D" w:rsidRDefault="00A91FDA" w:rsidP="00A91FDA">
            <w:pPr>
              <w:pStyle w:val="CETBodytext"/>
              <w:ind w:right="-1"/>
            </w:pPr>
            <w:r w:rsidRPr="00BC135D">
              <w:t>8</w:t>
            </w:r>
          </w:p>
        </w:tc>
        <w:tc>
          <w:tcPr>
            <w:tcW w:w="986" w:type="dxa"/>
            <w:tcBorders>
              <w:top w:val="single" w:sz="6" w:space="0" w:color="008000"/>
              <w:bottom w:val="single" w:sz="6" w:space="0" w:color="008000"/>
            </w:tcBorders>
            <w:shd w:val="clear" w:color="auto" w:fill="FFFFFF"/>
          </w:tcPr>
          <w:p w14:paraId="1EDF40A2" w14:textId="55DD2422" w:rsidR="00A91FDA" w:rsidRPr="00BC135D" w:rsidRDefault="00A91FDA" w:rsidP="00A91FDA">
            <w:pPr>
              <w:pStyle w:val="CETBodytext"/>
              <w:ind w:right="-1"/>
            </w:pPr>
            <w:r w:rsidRPr="00BC135D">
              <w:t>11</w:t>
            </w:r>
          </w:p>
        </w:tc>
      </w:tr>
      <w:tr w:rsidR="00A91FDA" w:rsidRPr="00623A4B" w14:paraId="75F5C8EC" w14:textId="77777777" w:rsidTr="00A91FDA">
        <w:tc>
          <w:tcPr>
            <w:tcW w:w="2513" w:type="dxa"/>
            <w:tcBorders>
              <w:top w:val="single" w:sz="6" w:space="0" w:color="008000"/>
              <w:bottom w:val="nil"/>
            </w:tcBorders>
            <w:shd w:val="clear" w:color="auto" w:fill="FFFFFF"/>
          </w:tcPr>
          <w:p w14:paraId="63CB106E" w14:textId="241A4057" w:rsidR="00A91FDA" w:rsidRDefault="00A91FDA" w:rsidP="00A91FDA">
            <w:pPr>
              <w:pStyle w:val="CETBodytext"/>
            </w:pPr>
            <w:r w:rsidRPr="00623A4B">
              <w:t>Aerobic Plate Counts</w:t>
            </w:r>
          </w:p>
        </w:tc>
        <w:tc>
          <w:tcPr>
            <w:tcW w:w="1270" w:type="dxa"/>
            <w:tcBorders>
              <w:top w:val="single" w:sz="6" w:space="0" w:color="008000"/>
              <w:bottom w:val="nil"/>
            </w:tcBorders>
            <w:shd w:val="clear" w:color="auto" w:fill="FFFFFF"/>
          </w:tcPr>
          <w:p w14:paraId="00423B3C" w14:textId="5C298C88" w:rsidR="00A91FDA" w:rsidRPr="00791774" w:rsidRDefault="00A91FDA" w:rsidP="00A91FDA">
            <w:pPr>
              <w:pStyle w:val="CETBodytext"/>
            </w:pPr>
            <w:r w:rsidRPr="00623A4B">
              <w:t>2.92 x 10</w:t>
            </w:r>
            <w:r w:rsidRPr="00623A4B">
              <w:rPr>
                <w:vertAlign w:val="superscript"/>
              </w:rPr>
              <w:t>5</w:t>
            </w:r>
            <w:r w:rsidRPr="00623A4B">
              <w:t xml:space="preserve"> </w:t>
            </w:r>
          </w:p>
        </w:tc>
        <w:tc>
          <w:tcPr>
            <w:tcW w:w="1061" w:type="dxa"/>
            <w:tcBorders>
              <w:top w:val="single" w:sz="6" w:space="0" w:color="008000"/>
              <w:bottom w:val="nil"/>
            </w:tcBorders>
            <w:shd w:val="clear" w:color="auto" w:fill="FFFFFF"/>
          </w:tcPr>
          <w:p w14:paraId="07E71629" w14:textId="41011EBD" w:rsidR="00A91FDA" w:rsidRPr="00791774" w:rsidRDefault="00A91FDA" w:rsidP="00A91FDA">
            <w:pPr>
              <w:pStyle w:val="CETBodytext"/>
            </w:pPr>
            <w:r w:rsidRPr="00623A4B">
              <w:t>1.6 x 10</w:t>
            </w:r>
            <w:r w:rsidRPr="00623A4B">
              <w:rPr>
                <w:vertAlign w:val="superscript"/>
              </w:rPr>
              <w:t>4</w:t>
            </w:r>
          </w:p>
        </w:tc>
        <w:tc>
          <w:tcPr>
            <w:tcW w:w="987" w:type="dxa"/>
            <w:tcBorders>
              <w:top w:val="single" w:sz="6" w:space="0" w:color="008000"/>
              <w:bottom w:val="nil"/>
            </w:tcBorders>
            <w:shd w:val="clear" w:color="auto" w:fill="FFFFFF"/>
          </w:tcPr>
          <w:p w14:paraId="5DA50DB2" w14:textId="630510A0" w:rsidR="00A91FDA" w:rsidRPr="00791774" w:rsidRDefault="00A91FDA" w:rsidP="00A91FDA">
            <w:pPr>
              <w:pStyle w:val="CETBodytext"/>
            </w:pPr>
            <w:r w:rsidRPr="00623A4B">
              <w:t>1.7 x 10</w:t>
            </w:r>
            <w:r w:rsidRPr="00623A4B">
              <w:rPr>
                <w:vertAlign w:val="superscript"/>
              </w:rPr>
              <w:t>5</w:t>
            </w:r>
          </w:p>
        </w:tc>
        <w:tc>
          <w:tcPr>
            <w:tcW w:w="986" w:type="dxa"/>
            <w:tcBorders>
              <w:top w:val="single" w:sz="6" w:space="0" w:color="008000"/>
              <w:bottom w:val="nil"/>
            </w:tcBorders>
            <w:shd w:val="clear" w:color="auto" w:fill="FFFFFF"/>
          </w:tcPr>
          <w:p w14:paraId="4749E090" w14:textId="545BAD67" w:rsidR="00A91FDA" w:rsidRPr="00791774" w:rsidRDefault="00A91FDA" w:rsidP="00A91FDA">
            <w:pPr>
              <w:pStyle w:val="CETBodytext"/>
            </w:pPr>
            <w:r w:rsidRPr="00623A4B">
              <w:t>7.7 x 10</w:t>
            </w:r>
            <w:r w:rsidRPr="00623A4B">
              <w:rPr>
                <w:vertAlign w:val="superscript"/>
              </w:rPr>
              <w:t>5</w:t>
            </w:r>
          </w:p>
        </w:tc>
        <w:tc>
          <w:tcPr>
            <w:tcW w:w="986" w:type="dxa"/>
            <w:tcBorders>
              <w:top w:val="single" w:sz="6" w:space="0" w:color="008000"/>
              <w:bottom w:val="nil"/>
            </w:tcBorders>
            <w:shd w:val="clear" w:color="auto" w:fill="FFFFFF"/>
          </w:tcPr>
          <w:p w14:paraId="7838C8F8" w14:textId="5C183C1B" w:rsidR="00A91FDA" w:rsidRPr="00791774" w:rsidRDefault="00A91FDA" w:rsidP="00A91FDA">
            <w:pPr>
              <w:pStyle w:val="CETBodytext"/>
            </w:pPr>
            <w:r w:rsidRPr="00623A4B">
              <w:t>5.4 x 10</w:t>
            </w:r>
            <w:r w:rsidRPr="00623A4B">
              <w:rPr>
                <w:vertAlign w:val="superscript"/>
              </w:rPr>
              <w:t>6</w:t>
            </w:r>
          </w:p>
        </w:tc>
        <w:tc>
          <w:tcPr>
            <w:tcW w:w="986" w:type="dxa"/>
            <w:tcBorders>
              <w:top w:val="single" w:sz="6" w:space="0" w:color="008000"/>
              <w:bottom w:val="nil"/>
            </w:tcBorders>
            <w:shd w:val="clear" w:color="auto" w:fill="FFFFFF"/>
          </w:tcPr>
          <w:p w14:paraId="3582CCC1" w14:textId="28C6C308" w:rsidR="00A91FDA" w:rsidRPr="00791774" w:rsidRDefault="00A91FDA" w:rsidP="00A91FDA">
            <w:pPr>
              <w:pStyle w:val="CETBodytext"/>
            </w:pPr>
            <w:r w:rsidRPr="00623A4B">
              <w:t>5.5 x 10</w:t>
            </w:r>
            <w:r w:rsidRPr="00623A4B">
              <w:rPr>
                <w:vertAlign w:val="superscript"/>
              </w:rPr>
              <w:t>6</w:t>
            </w:r>
          </w:p>
        </w:tc>
      </w:tr>
      <w:tr w:rsidR="00A91FDA" w:rsidRPr="00623A4B" w14:paraId="3DF35492" w14:textId="77777777" w:rsidTr="00A91FDA">
        <w:tc>
          <w:tcPr>
            <w:tcW w:w="2513" w:type="dxa"/>
            <w:tcBorders>
              <w:top w:val="nil"/>
              <w:bottom w:val="nil"/>
            </w:tcBorders>
            <w:shd w:val="clear" w:color="auto" w:fill="FFFFFF"/>
          </w:tcPr>
          <w:p w14:paraId="150F8AC5" w14:textId="1E2318F5" w:rsidR="00A91FDA" w:rsidRPr="00791774" w:rsidRDefault="00A91FDA" w:rsidP="00A91FDA">
            <w:pPr>
              <w:pStyle w:val="CETBodytext"/>
            </w:pPr>
            <w:r w:rsidRPr="00623A4B">
              <w:t>Lactic Acid Bacteria</w:t>
            </w:r>
          </w:p>
        </w:tc>
        <w:tc>
          <w:tcPr>
            <w:tcW w:w="1270" w:type="dxa"/>
            <w:tcBorders>
              <w:top w:val="nil"/>
              <w:bottom w:val="nil"/>
            </w:tcBorders>
            <w:shd w:val="clear" w:color="auto" w:fill="FFFFFF"/>
          </w:tcPr>
          <w:p w14:paraId="104B69F5" w14:textId="6C34E0F8" w:rsidR="00A91FDA" w:rsidRPr="00791774" w:rsidRDefault="00A91FDA" w:rsidP="00A91FDA">
            <w:pPr>
              <w:pStyle w:val="CETBodytext"/>
            </w:pPr>
            <w:r w:rsidRPr="00623A4B">
              <w:t>4.8 x 10</w:t>
            </w:r>
            <w:r w:rsidRPr="00623A4B">
              <w:rPr>
                <w:vertAlign w:val="superscript"/>
              </w:rPr>
              <w:t xml:space="preserve">6 </w:t>
            </w:r>
            <w:r w:rsidRPr="00623A4B">
              <w:t xml:space="preserve"> </w:t>
            </w:r>
          </w:p>
        </w:tc>
        <w:tc>
          <w:tcPr>
            <w:tcW w:w="1061" w:type="dxa"/>
            <w:tcBorders>
              <w:top w:val="nil"/>
              <w:bottom w:val="nil"/>
            </w:tcBorders>
            <w:shd w:val="clear" w:color="auto" w:fill="FFFFFF"/>
          </w:tcPr>
          <w:p w14:paraId="382C8CEF" w14:textId="43A78CD8" w:rsidR="00A91FDA" w:rsidRPr="00791774" w:rsidRDefault="00A91FDA" w:rsidP="00A91FDA">
            <w:pPr>
              <w:pStyle w:val="CETBodytext"/>
            </w:pPr>
            <w:r w:rsidRPr="00623A4B">
              <w:t>8.1 x 10</w:t>
            </w:r>
            <w:r w:rsidRPr="00623A4B">
              <w:rPr>
                <w:vertAlign w:val="superscript"/>
              </w:rPr>
              <w:t>3</w:t>
            </w:r>
          </w:p>
        </w:tc>
        <w:tc>
          <w:tcPr>
            <w:tcW w:w="987" w:type="dxa"/>
            <w:tcBorders>
              <w:top w:val="nil"/>
              <w:bottom w:val="nil"/>
            </w:tcBorders>
            <w:shd w:val="clear" w:color="auto" w:fill="FFFFFF"/>
          </w:tcPr>
          <w:p w14:paraId="2CAC6788" w14:textId="0DD312F6" w:rsidR="00A91FDA" w:rsidRPr="00791774" w:rsidRDefault="00A91FDA" w:rsidP="00A91FDA">
            <w:pPr>
              <w:pStyle w:val="CETBodytext"/>
            </w:pPr>
            <w:r w:rsidRPr="00623A4B">
              <w:t>4.9 x 10</w:t>
            </w:r>
            <w:r w:rsidRPr="00623A4B">
              <w:rPr>
                <w:vertAlign w:val="superscript"/>
              </w:rPr>
              <w:t>4</w:t>
            </w:r>
          </w:p>
        </w:tc>
        <w:tc>
          <w:tcPr>
            <w:tcW w:w="986" w:type="dxa"/>
            <w:tcBorders>
              <w:top w:val="nil"/>
              <w:bottom w:val="nil"/>
            </w:tcBorders>
            <w:shd w:val="clear" w:color="auto" w:fill="FFFFFF"/>
          </w:tcPr>
          <w:p w14:paraId="202777C1" w14:textId="758B2EB2" w:rsidR="00A91FDA" w:rsidRPr="00791774" w:rsidRDefault="00A91FDA" w:rsidP="00A91FDA">
            <w:pPr>
              <w:pStyle w:val="CETBodytext"/>
            </w:pPr>
            <w:r w:rsidRPr="00623A4B">
              <w:t>9.2 x 10</w:t>
            </w:r>
            <w:r w:rsidRPr="00623A4B">
              <w:rPr>
                <w:vertAlign w:val="superscript"/>
              </w:rPr>
              <w:t>5</w:t>
            </w:r>
          </w:p>
        </w:tc>
        <w:tc>
          <w:tcPr>
            <w:tcW w:w="986" w:type="dxa"/>
            <w:tcBorders>
              <w:top w:val="nil"/>
              <w:bottom w:val="nil"/>
            </w:tcBorders>
            <w:shd w:val="clear" w:color="auto" w:fill="FFFFFF"/>
          </w:tcPr>
          <w:p w14:paraId="2529F32B" w14:textId="778B5FDE" w:rsidR="00A91FDA" w:rsidRPr="00791774" w:rsidRDefault="00A91FDA" w:rsidP="00A91FDA">
            <w:pPr>
              <w:pStyle w:val="CETBodytext"/>
            </w:pPr>
            <w:r w:rsidRPr="00623A4B">
              <w:t>7.8 x 10</w:t>
            </w:r>
            <w:r w:rsidRPr="00623A4B">
              <w:rPr>
                <w:vertAlign w:val="superscript"/>
              </w:rPr>
              <w:t>6</w:t>
            </w:r>
          </w:p>
        </w:tc>
        <w:tc>
          <w:tcPr>
            <w:tcW w:w="986" w:type="dxa"/>
            <w:tcBorders>
              <w:top w:val="nil"/>
              <w:bottom w:val="nil"/>
            </w:tcBorders>
            <w:shd w:val="clear" w:color="auto" w:fill="FFFFFF"/>
          </w:tcPr>
          <w:p w14:paraId="55627A1C" w14:textId="38E9B592" w:rsidR="00A91FDA" w:rsidRPr="00791774" w:rsidRDefault="00A91FDA" w:rsidP="00A91FDA">
            <w:pPr>
              <w:pStyle w:val="CETBodytext"/>
            </w:pPr>
            <w:r w:rsidRPr="00623A4B">
              <w:t>2.8 x 10</w:t>
            </w:r>
            <w:r w:rsidRPr="00623A4B">
              <w:rPr>
                <w:vertAlign w:val="superscript"/>
              </w:rPr>
              <w:t>7</w:t>
            </w:r>
          </w:p>
        </w:tc>
      </w:tr>
      <w:tr w:rsidR="00A91FDA" w:rsidRPr="00623A4B" w14:paraId="13B2B46B" w14:textId="77777777" w:rsidTr="00A91FDA">
        <w:tc>
          <w:tcPr>
            <w:tcW w:w="2513" w:type="dxa"/>
            <w:tcBorders>
              <w:top w:val="nil"/>
              <w:bottom w:val="nil"/>
            </w:tcBorders>
            <w:shd w:val="clear" w:color="auto" w:fill="FFFFFF"/>
          </w:tcPr>
          <w:p w14:paraId="3B003B0F" w14:textId="43813031" w:rsidR="00A91FDA" w:rsidRPr="00791774" w:rsidRDefault="00A91FDA" w:rsidP="00A91FDA">
            <w:pPr>
              <w:pStyle w:val="CETBodytext"/>
            </w:pPr>
            <w:r w:rsidRPr="00623A4B">
              <w:t>Yeast</w:t>
            </w:r>
          </w:p>
        </w:tc>
        <w:tc>
          <w:tcPr>
            <w:tcW w:w="1270" w:type="dxa"/>
            <w:tcBorders>
              <w:top w:val="nil"/>
              <w:bottom w:val="nil"/>
            </w:tcBorders>
            <w:shd w:val="clear" w:color="auto" w:fill="FFFFFF"/>
          </w:tcPr>
          <w:p w14:paraId="12E67602" w14:textId="5BDF1C22" w:rsidR="00A91FDA" w:rsidRPr="00791774" w:rsidRDefault="00A91FDA" w:rsidP="00A91FDA">
            <w:pPr>
              <w:pStyle w:val="CETBodytext"/>
            </w:pPr>
            <w:r w:rsidRPr="00623A4B">
              <w:t>2.7 x 10</w:t>
            </w:r>
            <w:r w:rsidRPr="00623A4B">
              <w:rPr>
                <w:vertAlign w:val="superscript"/>
              </w:rPr>
              <w:t xml:space="preserve">4 </w:t>
            </w:r>
          </w:p>
        </w:tc>
        <w:tc>
          <w:tcPr>
            <w:tcW w:w="1061" w:type="dxa"/>
            <w:tcBorders>
              <w:top w:val="nil"/>
              <w:bottom w:val="nil"/>
            </w:tcBorders>
            <w:shd w:val="clear" w:color="auto" w:fill="FFFFFF"/>
          </w:tcPr>
          <w:p w14:paraId="2E49F01D" w14:textId="607A5B96" w:rsidR="00A91FDA" w:rsidRPr="00791774" w:rsidRDefault="00A91FDA" w:rsidP="00A91FDA">
            <w:pPr>
              <w:pStyle w:val="CETBodytext"/>
            </w:pPr>
            <w:r w:rsidRPr="00623A4B">
              <w:t>10</w:t>
            </w:r>
          </w:p>
        </w:tc>
        <w:tc>
          <w:tcPr>
            <w:tcW w:w="987" w:type="dxa"/>
            <w:tcBorders>
              <w:top w:val="nil"/>
              <w:bottom w:val="nil"/>
            </w:tcBorders>
            <w:shd w:val="clear" w:color="auto" w:fill="FFFFFF"/>
          </w:tcPr>
          <w:p w14:paraId="18DCB5DD" w14:textId="51186B6C" w:rsidR="00A91FDA" w:rsidRPr="00791774" w:rsidRDefault="00A91FDA" w:rsidP="00A91FDA">
            <w:pPr>
              <w:pStyle w:val="CETBodytext"/>
            </w:pPr>
            <w:r w:rsidRPr="00623A4B">
              <w:t>5.9 x 10</w:t>
            </w:r>
            <w:r w:rsidRPr="00623A4B">
              <w:rPr>
                <w:vertAlign w:val="superscript"/>
              </w:rPr>
              <w:t>3</w:t>
            </w:r>
          </w:p>
        </w:tc>
        <w:tc>
          <w:tcPr>
            <w:tcW w:w="986" w:type="dxa"/>
            <w:tcBorders>
              <w:top w:val="nil"/>
              <w:bottom w:val="nil"/>
            </w:tcBorders>
            <w:shd w:val="clear" w:color="auto" w:fill="FFFFFF"/>
          </w:tcPr>
          <w:p w14:paraId="658D43A7" w14:textId="30DDF796" w:rsidR="00A91FDA" w:rsidRPr="00791774" w:rsidRDefault="00A91FDA" w:rsidP="00A91FDA">
            <w:pPr>
              <w:pStyle w:val="CETBodytext"/>
            </w:pPr>
            <w:r w:rsidRPr="00623A4B">
              <w:t>2.4 x 10</w:t>
            </w:r>
            <w:r w:rsidRPr="00623A4B">
              <w:rPr>
                <w:vertAlign w:val="superscript"/>
              </w:rPr>
              <w:t>4</w:t>
            </w:r>
          </w:p>
        </w:tc>
        <w:tc>
          <w:tcPr>
            <w:tcW w:w="986" w:type="dxa"/>
            <w:tcBorders>
              <w:top w:val="nil"/>
              <w:bottom w:val="nil"/>
            </w:tcBorders>
            <w:shd w:val="clear" w:color="auto" w:fill="FFFFFF"/>
          </w:tcPr>
          <w:p w14:paraId="77694391" w14:textId="4E6FF7CE" w:rsidR="00A91FDA" w:rsidRPr="00791774" w:rsidRDefault="00A91FDA" w:rsidP="00A91FDA">
            <w:pPr>
              <w:pStyle w:val="CETBodytext"/>
            </w:pPr>
            <w:r w:rsidRPr="00623A4B">
              <w:t>4.6 x 10</w:t>
            </w:r>
            <w:r w:rsidRPr="00623A4B">
              <w:rPr>
                <w:vertAlign w:val="superscript"/>
              </w:rPr>
              <w:t>4</w:t>
            </w:r>
          </w:p>
        </w:tc>
        <w:tc>
          <w:tcPr>
            <w:tcW w:w="986" w:type="dxa"/>
            <w:tcBorders>
              <w:top w:val="nil"/>
              <w:bottom w:val="nil"/>
            </w:tcBorders>
            <w:shd w:val="clear" w:color="auto" w:fill="FFFFFF"/>
          </w:tcPr>
          <w:p w14:paraId="1C521314" w14:textId="38826A29" w:rsidR="00A91FDA" w:rsidRPr="00791774" w:rsidRDefault="00A91FDA" w:rsidP="00A91FDA">
            <w:pPr>
              <w:pStyle w:val="CETBodytext"/>
            </w:pPr>
            <w:r w:rsidRPr="00623A4B">
              <w:t>6.0 x 10</w:t>
            </w:r>
            <w:r w:rsidRPr="00623A4B">
              <w:rPr>
                <w:vertAlign w:val="superscript"/>
              </w:rPr>
              <w:t>6</w:t>
            </w:r>
          </w:p>
        </w:tc>
      </w:tr>
      <w:tr w:rsidR="00A91FDA" w:rsidRPr="00623A4B" w14:paraId="321B4E82" w14:textId="77777777" w:rsidTr="00A91FDA">
        <w:tc>
          <w:tcPr>
            <w:tcW w:w="2513" w:type="dxa"/>
            <w:tcBorders>
              <w:top w:val="nil"/>
            </w:tcBorders>
            <w:shd w:val="clear" w:color="auto" w:fill="FFFFFF"/>
          </w:tcPr>
          <w:p w14:paraId="49C031A8" w14:textId="6D94C7E6" w:rsidR="00A91FDA" w:rsidRPr="00791774" w:rsidRDefault="00A91FDA" w:rsidP="00A91FDA">
            <w:pPr>
              <w:pStyle w:val="CETBodytext"/>
            </w:pPr>
            <w:r w:rsidRPr="00623A4B">
              <w:t>Mold</w:t>
            </w:r>
          </w:p>
        </w:tc>
        <w:tc>
          <w:tcPr>
            <w:tcW w:w="1270" w:type="dxa"/>
            <w:tcBorders>
              <w:top w:val="nil"/>
            </w:tcBorders>
            <w:shd w:val="clear" w:color="auto" w:fill="FFFFFF"/>
          </w:tcPr>
          <w:p w14:paraId="6D3DCA21" w14:textId="7E2F75F1" w:rsidR="00A91FDA" w:rsidRPr="00791774" w:rsidRDefault="00A91FDA" w:rsidP="00A91FDA">
            <w:pPr>
              <w:pStyle w:val="CETBodytext"/>
            </w:pPr>
            <w:proofErr w:type="gramStart"/>
            <w:r w:rsidRPr="00623A4B">
              <w:t>NG(</w:t>
            </w:r>
            <w:proofErr w:type="gramEnd"/>
            <w:r w:rsidRPr="00623A4B">
              <w:t>&lt;10)</w:t>
            </w:r>
          </w:p>
        </w:tc>
        <w:tc>
          <w:tcPr>
            <w:tcW w:w="1061" w:type="dxa"/>
            <w:tcBorders>
              <w:top w:val="nil"/>
            </w:tcBorders>
            <w:shd w:val="clear" w:color="auto" w:fill="FFFFFF"/>
          </w:tcPr>
          <w:p w14:paraId="7680347E" w14:textId="7DCC9097" w:rsidR="00A91FDA" w:rsidRPr="00791774" w:rsidRDefault="00A91FDA" w:rsidP="00A91FDA">
            <w:pPr>
              <w:pStyle w:val="CETBodytext"/>
            </w:pPr>
            <w:proofErr w:type="gramStart"/>
            <w:r w:rsidRPr="00623A4B">
              <w:t>NG(</w:t>
            </w:r>
            <w:proofErr w:type="gramEnd"/>
            <w:r w:rsidRPr="00623A4B">
              <w:t>&lt;10)</w:t>
            </w:r>
          </w:p>
        </w:tc>
        <w:tc>
          <w:tcPr>
            <w:tcW w:w="987" w:type="dxa"/>
            <w:tcBorders>
              <w:top w:val="nil"/>
            </w:tcBorders>
            <w:shd w:val="clear" w:color="auto" w:fill="FFFFFF"/>
          </w:tcPr>
          <w:p w14:paraId="4C04BA63" w14:textId="2BD3DC61" w:rsidR="00A91FDA" w:rsidRPr="00791774" w:rsidRDefault="00A91FDA" w:rsidP="00A91FDA">
            <w:pPr>
              <w:pStyle w:val="CETBodytext"/>
            </w:pPr>
            <w:proofErr w:type="gramStart"/>
            <w:r w:rsidRPr="00623A4B">
              <w:t>NG(</w:t>
            </w:r>
            <w:proofErr w:type="gramEnd"/>
            <w:r w:rsidRPr="00623A4B">
              <w:t>&lt;10)</w:t>
            </w:r>
          </w:p>
        </w:tc>
        <w:tc>
          <w:tcPr>
            <w:tcW w:w="986" w:type="dxa"/>
            <w:tcBorders>
              <w:top w:val="nil"/>
            </w:tcBorders>
            <w:shd w:val="clear" w:color="auto" w:fill="FFFFFF"/>
          </w:tcPr>
          <w:p w14:paraId="2F6AC42E" w14:textId="79BA41E3" w:rsidR="00A91FDA" w:rsidRPr="00791774" w:rsidRDefault="00A91FDA" w:rsidP="00A91FDA">
            <w:pPr>
              <w:pStyle w:val="CETBodytext"/>
            </w:pPr>
            <w:proofErr w:type="gramStart"/>
            <w:r w:rsidRPr="00623A4B">
              <w:t>NG(</w:t>
            </w:r>
            <w:proofErr w:type="gramEnd"/>
            <w:r w:rsidRPr="00623A4B">
              <w:t>&lt;10)</w:t>
            </w:r>
          </w:p>
        </w:tc>
        <w:tc>
          <w:tcPr>
            <w:tcW w:w="986" w:type="dxa"/>
            <w:tcBorders>
              <w:top w:val="nil"/>
            </w:tcBorders>
            <w:shd w:val="clear" w:color="auto" w:fill="FFFFFF"/>
          </w:tcPr>
          <w:p w14:paraId="2DF4DCAC" w14:textId="797E9AB2" w:rsidR="00A91FDA" w:rsidRPr="00791774" w:rsidRDefault="00A91FDA" w:rsidP="00A91FDA">
            <w:pPr>
              <w:pStyle w:val="CETBodytext"/>
            </w:pPr>
            <w:proofErr w:type="gramStart"/>
            <w:r w:rsidRPr="00623A4B">
              <w:t>NG(</w:t>
            </w:r>
            <w:proofErr w:type="gramEnd"/>
            <w:r w:rsidRPr="00623A4B">
              <w:t>&lt;10)</w:t>
            </w:r>
          </w:p>
        </w:tc>
        <w:tc>
          <w:tcPr>
            <w:tcW w:w="986" w:type="dxa"/>
            <w:tcBorders>
              <w:top w:val="nil"/>
            </w:tcBorders>
            <w:shd w:val="clear" w:color="auto" w:fill="FFFFFF"/>
          </w:tcPr>
          <w:p w14:paraId="25C282A9" w14:textId="09019AF9" w:rsidR="00A91FDA" w:rsidRPr="00791774" w:rsidRDefault="00A91FDA" w:rsidP="00A91FDA">
            <w:pPr>
              <w:pStyle w:val="CETBodytext"/>
            </w:pPr>
            <w:proofErr w:type="gramStart"/>
            <w:r w:rsidRPr="00623A4B">
              <w:t>NG(</w:t>
            </w:r>
            <w:proofErr w:type="gramEnd"/>
            <w:r w:rsidRPr="00623A4B">
              <w:t>&lt;10)</w:t>
            </w:r>
          </w:p>
        </w:tc>
      </w:tr>
    </w:tbl>
    <w:p w14:paraId="0D096223" w14:textId="77777777" w:rsidR="008517D2" w:rsidRDefault="008517D2" w:rsidP="008517D2">
      <w:pPr>
        <w:pStyle w:val="CETheadingx"/>
        <w:numPr>
          <w:ilvl w:val="0"/>
          <w:numId w:val="0"/>
        </w:numPr>
      </w:pPr>
    </w:p>
    <w:p w14:paraId="5BE8C74A" w14:textId="32E4C293" w:rsidR="002522B8" w:rsidRPr="00A5133E" w:rsidRDefault="002522B8" w:rsidP="002522B8">
      <w:pPr>
        <w:pStyle w:val="CETheadingx"/>
      </w:pPr>
      <w:r>
        <w:t>Microbiological composition</w:t>
      </w:r>
    </w:p>
    <w:p w14:paraId="0DA9B50C" w14:textId="2EB0ABCF" w:rsidR="002522B8" w:rsidRPr="002522B8" w:rsidRDefault="002522B8" w:rsidP="00C1654D">
      <w:pPr>
        <w:pStyle w:val="CETCaption"/>
        <w:spacing w:before="0" w:after="0"/>
        <w:rPr>
          <w:i w:val="0"/>
          <w:lang w:val="en-MY"/>
        </w:rPr>
      </w:pPr>
      <w:r w:rsidRPr="00A5133E">
        <w:rPr>
          <w:i w:val="0"/>
          <w:lang w:val="en-MY"/>
        </w:rPr>
        <w:t>Figure 1 show</w:t>
      </w:r>
      <w:r w:rsidR="00554C48" w:rsidRPr="00A5133E">
        <w:rPr>
          <w:i w:val="0"/>
          <w:lang w:val="en-MY"/>
        </w:rPr>
        <w:t>s</w:t>
      </w:r>
      <w:r w:rsidRPr="00A5133E">
        <w:rPr>
          <w:i w:val="0"/>
          <w:lang w:val="en-MY"/>
        </w:rPr>
        <w:t xml:space="preserve"> the abundance percentage of bacterial composition in milk kefir and </w:t>
      </w:r>
      <w:r w:rsidRPr="00A5133E">
        <w:rPr>
          <w:iCs/>
          <w:lang w:val="en-MY"/>
        </w:rPr>
        <w:t>tempeh</w:t>
      </w:r>
      <w:r w:rsidRPr="00A5133E">
        <w:rPr>
          <w:i w:val="0"/>
          <w:lang w:val="en-MY"/>
        </w:rPr>
        <w:t xml:space="preserve"> at genus level from bioinformatics analysis. Milk kefir displayed a smaller variability of microbial composition compared to </w:t>
      </w:r>
      <w:r w:rsidRPr="00A5133E">
        <w:rPr>
          <w:iCs/>
          <w:lang w:val="en-MY"/>
        </w:rPr>
        <w:t>tempeh</w:t>
      </w:r>
      <w:r w:rsidRPr="00A5133E">
        <w:rPr>
          <w:i w:val="0"/>
          <w:lang w:val="en-MY"/>
        </w:rPr>
        <w:t xml:space="preserve">. </w:t>
      </w:r>
      <w:r w:rsidR="00192C76" w:rsidRPr="00A5133E">
        <w:rPr>
          <w:i w:val="0"/>
          <w:lang w:val="en-MY"/>
        </w:rPr>
        <w:t>M</w:t>
      </w:r>
      <w:r w:rsidRPr="00A5133E">
        <w:rPr>
          <w:i w:val="0"/>
          <w:lang w:val="en-MY"/>
        </w:rPr>
        <w:t xml:space="preserve">ilk kefir samples were dominated by </w:t>
      </w:r>
      <w:r w:rsidRPr="00A5133E">
        <w:rPr>
          <w:iCs/>
          <w:lang w:val="en-MY"/>
        </w:rPr>
        <w:t>Lactobacillus</w:t>
      </w:r>
      <w:r w:rsidRPr="00A5133E">
        <w:rPr>
          <w:i w:val="0"/>
          <w:lang w:val="en-MY"/>
        </w:rPr>
        <w:t xml:space="preserve"> and </w:t>
      </w:r>
      <w:r w:rsidRPr="00A5133E">
        <w:rPr>
          <w:iCs/>
          <w:lang w:val="en-MY"/>
        </w:rPr>
        <w:t>Streptococcus</w:t>
      </w:r>
      <w:r w:rsidRPr="00A5133E">
        <w:rPr>
          <w:i w:val="0"/>
          <w:lang w:val="en-MY"/>
        </w:rPr>
        <w:t xml:space="preserve"> quite equally. </w:t>
      </w:r>
      <w:r w:rsidRPr="00A5133E">
        <w:rPr>
          <w:iCs/>
          <w:lang w:val="en-MY"/>
        </w:rPr>
        <w:t>Lactobacillus</w:t>
      </w:r>
      <w:r w:rsidRPr="00A5133E">
        <w:rPr>
          <w:i w:val="0"/>
          <w:lang w:val="en-MY"/>
        </w:rPr>
        <w:t xml:space="preserve"> </w:t>
      </w:r>
      <w:r w:rsidR="00192C76" w:rsidRPr="00A5133E">
        <w:rPr>
          <w:i w:val="0"/>
          <w:lang w:val="en-MY"/>
        </w:rPr>
        <w:t>(</w:t>
      </w:r>
      <w:r w:rsidR="00A5133E" w:rsidRPr="00A5133E">
        <w:rPr>
          <w:i w:val="0"/>
          <w:lang w:val="en-MY"/>
        </w:rPr>
        <w:t>67.70</w:t>
      </w:r>
      <w:r w:rsidR="00455E98">
        <w:rPr>
          <w:i w:val="0"/>
          <w:lang w:val="en-MY"/>
        </w:rPr>
        <w:t> </w:t>
      </w:r>
      <w:r w:rsidR="00192C76" w:rsidRPr="00A5133E">
        <w:rPr>
          <w:i w:val="0"/>
          <w:lang w:val="en-MY"/>
        </w:rPr>
        <w:t xml:space="preserve">%) </w:t>
      </w:r>
      <w:r w:rsidRPr="00A5133E">
        <w:rPr>
          <w:i w:val="0"/>
          <w:lang w:val="en-MY"/>
        </w:rPr>
        <w:t xml:space="preserve">was found slightly more abundantly in optimised milk kefir while </w:t>
      </w:r>
      <w:r w:rsidRPr="00A5133E">
        <w:rPr>
          <w:iCs/>
          <w:lang w:val="en-MY"/>
        </w:rPr>
        <w:t>Streptococcus</w:t>
      </w:r>
      <w:r w:rsidRPr="00A5133E">
        <w:rPr>
          <w:i w:val="0"/>
          <w:lang w:val="en-MY"/>
        </w:rPr>
        <w:t xml:space="preserve"> </w:t>
      </w:r>
      <w:r w:rsidR="00192C76" w:rsidRPr="00A5133E">
        <w:rPr>
          <w:i w:val="0"/>
          <w:lang w:val="en-MY"/>
        </w:rPr>
        <w:t>(</w:t>
      </w:r>
      <w:r w:rsidR="00A5133E" w:rsidRPr="00A5133E">
        <w:rPr>
          <w:i w:val="0"/>
          <w:lang w:val="en-MY"/>
        </w:rPr>
        <w:t>56.06</w:t>
      </w:r>
      <w:r w:rsidR="00455E98">
        <w:rPr>
          <w:i w:val="0"/>
          <w:lang w:val="en-MY"/>
        </w:rPr>
        <w:t> </w:t>
      </w:r>
      <w:r w:rsidR="00192C76" w:rsidRPr="00A5133E">
        <w:rPr>
          <w:i w:val="0"/>
          <w:lang w:val="en-MY"/>
        </w:rPr>
        <w:t xml:space="preserve">%) </w:t>
      </w:r>
      <w:r w:rsidRPr="00A5133E">
        <w:rPr>
          <w:i w:val="0"/>
          <w:lang w:val="en-MY"/>
        </w:rPr>
        <w:t xml:space="preserve">in the commercial sample. Both the </w:t>
      </w:r>
      <w:r w:rsidRPr="00A5133E">
        <w:rPr>
          <w:iCs/>
          <w:lang w:val="en-MY"/>
        </w:rPr>
        <w:t>Lactobacillus</w:t>
      </w:r>
      <w:r w:rsidRPr="00A5133E">
        <w:rPr>
          <w:i w:val="0"/>
          <w:lang w:val="en-MY"/>
        </w:rPr>
        <w:t xml:space="preserve"> and </w:t>
      </w:r>
      <w:r w:rsidRPr="00A5133E">
        <w:rPr>
          <w:iCs/>
          <w:lang w:val="en-MY"/>
        </w:rPr>
        <w:t>Streptococcus</w:t>
      </w:r>
      <w:r w:rsidRPr="00A5133E">
        <w:rPr>
          <w:i w:val="0"/>
          <w:lang w:val="en-MY"/>
        </w:rPr>
        <w:t xml:space="preserve"> are generally recognised as probiotics</w:t>
      </w:r>
      <w:r w:rsidR="00BD5263" w:rsidRPr="00A5133E">
        <w:rPr>
          <w:i w:val="0"/>
          <w:lang w:val="en-MY"/>
        </w:rPr>
        <w:t xml:space="preserve"> with mounting clinical </w:t>
      </w:r>
      <w:proofErr w:type="gramStart"/>
      <w:r w:rsidR="00BD5263" w:rsidRPr="00A5133E">
        <w:rPr>
          <w:i w:val="0"/>
          <w:lang w:val="en-MY"/>
        </w:rPr>
        <w:t>evidences</w:t>
      </w:r>
      <w:proofErr w:type="gramEnd"/>
      <w:r w:rsidRPr="00A5133E">
        <w:rPr>
          <w:i w:val="0"/>
          <w:lang w:val="en-MY"/>
        </w:rPr>
        <w:t xml:space="preserve"> that promote gut health</w:t>
      </w:r>
      <w:r w:rsidR="00BD5263" w:rsidRPr="00A5133E">
        <w:rPr>
          <w:i w:val="0"/>
          <w:lang w:val="en-MY"/>
        </w:rPr>
        <w:t>,</w:t>
      </w:r>
      <w:r w:rsidRPr="00A5133E">
        <w:rPr>
          <w:i w:val="0"/>
          <w:lang w:val="en-MY"/>
        </w:rPr>
        <w:t xml:space="preserve"> </w:t>
      </w:r>
      <w:r w:rsidR="00BD5263" w:rsidRPr="00A5133E">
        <w:rPr>
          <w:i w:val="0"/>
          <w:lang w:val="en-MY"/>
        </w:rPr>
        <w:t xml:space="preserve">strengthening </w:t>
      </w:r>
      <w:r w:rsidRPr="00A5133E">
        <w:rPr>
          <w:i w:val="0"/>
          <w:lang w:val="en-MY"/>
        </w:rPr>
        <w:t>immunity (Ajibola</w:t>
      </w:r>
      <w:r w:rsidR="0010712F" w:rsidRPr="00A5133E">
        <w:rPr>
          <w:i w:val="0"/>
          <w:lang w:val="en-MY"/>
        </w:rPr>
        <w:t xml:space="preserve"> et al., </w:t>
      </w:r>
      <w:r w:rsidRPr="00A5133E">
        <w:rPr>
          <w:i w:val="0"/>
          <w:lang w:val="en-MY"/>
        </w:rPr>
        <w:t>2023)</w:t>
      </w:r>
      <w:r w:rsidR="00BD5263" w:rsidRPr="00A5133E">
        <w:rPr>
          <w:i w:val="0"/>
          <w:lang w:val="en-MY"/>
        </w:rPr>
        <w:t xml:space="preserve"> and controlling blood glucose level (Kumari et al. 2023)</w:t>
      </w:r>
      <w:r w:rsidRPr="00A5133E">
        <w:rPr>
          <w:i w:val="0"/>
          <w:lang w:val="en-MY"/>
        </w:rPr>
        <w:t xml:space="preserve">. They are also </w:t>
      </w:r>
      <w:proofErr w:type="gramStart"/>
      <w:r w:rsidRPr="00A5133E">
        <w:rPr>
          <w:i w:val="0"/>
          <w:lang w:val="en-MY"/>
        </w:rPr>
        <w:t>lactic-acid</w:t>
      </w:r>
      <w:proofErr w:type="gramEnd"/>
      <w:r w:rsidRPr="00A5133E">
        <w:rPr>
          <w:i w:val="0"/>
          <w:lang w:val="en-MY"/>
        </w:rPr>
        <w:t xml:space="preserve"> producing bacteria which facilitates fermentation process </w:t>
      </w:r>
      <w:r w:rsidRPr="002522B8">
        <w:rPr>
          <w:i w:val="0"/>
          <w:lang w:val="en-MY"/>
        </w:rPr>
        <w:t xml:space="preserve">by lowering down pH during fermentation process that aim to preserve and extend </w:t>
      </w:r>
      <w:r w:rsidR="00192C76">
        <w:rPr>
          <w:i w:val="0"/>
          <w:lang w:val="en-MY"/>
        </w:rPr>
        <w:t xml:space="preserve">food </w:t>
      </w:r>
      <w:r w:rsidRPr="002522B8">
        <w:rPr>
          <w:i w:val="0"/>
          <w:lang w:val="en-MY"/>
        </w:rPr>
        <w:t xml:space="preserve">shelf life (Ajibola et al., 2023). </w:t>
      </w:r>
    </w:p>
    <w:p w14:paraId="3AF2860A" w14:textId="2881A6E7" w:rsidR="002522B8" w:rsidRDefault="002522B8" w:rsidP="0026492E">
      <w:pPr>
        <w:pStyle w:val="CETCaption"/>
        <w:rPr>
          <w:i w:val="0"/>
          <w:lang w:val="en-MY"/>
        </w:rPr>
      </w:pPr>
      <w:r w:rsidRPr="002522B8">
        <w:rPr>
          <w:i w:val="0"/>
          <w:lang w:val="en-MY"/>
        </w:rPr>
        <w:t xml:space="preserve">Optimised </w:t>
      </w:r>
      <w:r w:rsidRPr="007B17AA">
        <w:rPr>
          <w:iCs/>
          <w:lang w:val="en-MY"/>
        </w:rPr>
        <w:t xml:space="preserve">tempeh </w:t>
      </w:r>
      <w:r w:rsidRPr="002522B8">
        <w:rPr>
          <w:i w:val="0"/>
          <w:lang w:val="en-MY"/>
        </w:rPr>
        <w:t xml:space="preserve">was characterised by mainly the </w:t>
      </w:r>
      <w:r w:rsidRPr="00BB5B62">
        <w:rPr>
          <w:iCs/>
          <w:lang w:val="en-MY"/>
        </w:rPr>
        <w:t xml:space="preserve">Bacillus </w:t>
      </w:r>
      <w:r w:rsidRPr="002522B8">
        <w:rPr>
          <w:i w:val="0"/>
          <w:lang w:val="en-MY"/>
        </w:rPr>
        <w:t>(42.77</w:t>
      </w:r>
      <w:r w:rsidR="00455E98">
        <w:rPr>
          <w:i w:val="0"/>
          <w:lang w:val="en-MY"/>
        </w:rPr>
        <w:t> </w:t>
      </w:r>
      <w:r w:rsidRPr="002522B8">
        <w:rPr>
          <w:i w:val="0"/>
          <w:lang w:val="en-MY"/>
        </w:rPr>
        <w:t xml:space="preserve">%) and </w:t>
      </w:r>
      <w:proofErr w:type="spellStart"/>
      <w:r w:rsidRPr="00BB5B62">
        <w:rPr>
          <w:iCs/>
          <w:lang w:val="en-MY"/>
        </w:rPr>
        <w:t>Weissella</w:t>
      </w:r>
      <w:proofErr w:type="spellEnd"/>
      <w:r w:rsidRPr="00BB5B62">
        <w:rPr>
          <w:iCs/>
          <w:lang w:val="en-MY"/>
        </w:rPr>
        <w:t xml:space="preserve"> </w:t>
      </w:r>
      <w:r w:rsidRPr="002522B8">
        <w:rPr>
          <w:i w:val="0"/>
          <w:lang w:val="en-MY"/>
        </w:rPr>
        <w:t>(41.51</w:t>
      </w:r>
      <w:r w:rsidR="00455E98">
        <w:rPr>
          <w:i w:val="0"/>
          <w:lang w:val="en-MY"/>
        </w:rPr>
        <w:t> </w:t>
      </w:r>
      <w:r w:rsidRPr="002522B8">
        <w:rPr>
          <w:i w:val="0"/>
          <w:lang w:val="en-MY"/>
        </w:rPr>
        <w:t xml:space="preserve">%) while the commercial </w:t>
      </w:r>
      <w:r w:rsidRPr="007B17AA">
        <w:rPr>
          <w:iCs/>
          <w:lang w:val="en-MY"/>
        </w:rPr>
        <w:t>tempeh</w:t>
      </w:r>
      <w:r w:rsidRPr="002522B8">
        <w:rPr>
          <w:i w:val="0"/>
          <w:lang w:val="en-MY"/>
        </w:rPr>
        <w:t xml:space="preserve"> presented higher variability in types of microbes besides of </w:t>
      </w:r>
      <w:r w:rsidRPr="00BB5B62">
        <w:rPr>
          <w:iCs/>
          <w:lang w:val="en-MY"/>
        </w:rPr>
        <w:t>Bacillus</w:t>
      </w:r>
      <w:r w:rsidRPr="002522B8">
        <w:rPr>
          <w:i w:val="0"/>
          <w:lang w:val="en-MY"/>
        </w:rPr>
        <w:t xml:space="preserve"> (2.35</w:t>
      </w:r>
      <w:r w:rsidR="00455E98">
        <w:rPr>
          <w:i w:val="0"/>
          <w:lang w:val="en-MY"/>
        </w:rPr>
        <w:t> </w:t>
      </w:r>
      <w:r w:rsidRPr="002522B8">
        <w:rPr>
          <w:i w:val="0"/>
          <w:lang w:val="en-MY"/>
        </w:rPr>
        <w:t xml:space="preserve">%) and </w:t>
      </w:r>
      <w:proofErr w:type="spellStart"/>
      <w:r w:rsidRPr="00BB5B62">
        <w:rPr>
          <w:iCs/>
          <w:lang w:val="en-MY"/>
        </w:rPr>
        <w:t>Weissella</w:t>
      </w:r>
      <w:proofErr w:type="spellEnd"/>
      <w:r w:rsidRPr="002522B8">
        <w:rPr>
          <w:i w:val="0"/>
          <w:lang w:val="en-MY"/>
        </w:rPr>
        <w:t xml:space="preserve"> (40.33</w:t>
      </w:r>
      <w:r w:rsidR="00455E98">
        <w:rPr>
          <w:i w:val="0"/>
          <w:lang w:val="en-MY"/>
        </w:rPr>
        <w:t> </w:t>
      </w:r>
      <w:r w:rsidRPr="002522B8">
        <w:rPr>
          <w:i w:val="0"/>
          <w:lang w:val="en-MY"/>
        </w:rPr>
        <w:t xml:space="preserve">%), </w:t>
      </w:r>
      <w:r w:rsidRPr="00EF05F2">
        <w:rPr>
          <w:i w:val="0"/>
          <w:lang w:val="en-MY"/>
        </w:rPr>
        <w:t xml:space="preserve">but also </w:t>
      </w:r>
      <w:r w:rsidRPr="00EF05F2">
        <w:rPr>
          <w:iCs/>
          <w:lang w:val="en-MY"/>
        </w:rPr>
        <w:t>Streptococcus</w:t>
      </w:r>
      <w:r w:rsidRPr="00EF05F2">
        <w:rPr>
          <w:i w:val="0"/>
          <w:lang w:val="en-MY"/>
        </w:rPr>
        <w:t xml:space="preserve"> (11.72</w:t>
      </w:r>
      <w:r w:rsidR="00455E98">
        <w:rPr>
          <w:i w:val="0"/>
          <w:lang w:val="en-MY"/>
        </w:rPr>
        <w:t> </w:t>
      </w:r>
      <w:r w:rsidRPr="00EF05F2">
        <w:rPr>
          <w:i w:val="0"/>
          <w:lang w:val="en-MY"/>
        </w:rPr>
        <w:t xml:space="preserve">%) </w:t>
      </w:r>
      <w:proofErr w:type="spellStart"/>
      <w:r w:rsidRPr="00EF05F2">
        <w:rPr>
          <w:iCs/>
          <w:lang w:val="en-MY"/>
        </w:rPr>
        <w:t>Limosilactobacillus</w:t>
      </w:r>
      <w:proofErr w:type="spellEnd"/>
      <w:r w:rsidRPr="00EF05F2">
        <w:rPr>
          <w:i w:val="0"/>
          <w:lang w:val="en-MY"/>
        </w:rPr>
        <w:t xml:space="preserve"> (10.86</w:t>
      </w:r>
      <w:r w:rsidR="00455E98">
        <w:rPr>
          <w:i w:val="0"/>
          <w:lang w:val="en-MY"/>
        </w:rPr>
        <w:t> </w:t>
      </w:r>
      <w:r w:rsidRPr="00EF05F2">
        <w:rPr>
          <w:i w:val="0"/>
          <w:lang w:val="en-MY"/>
        </w:rPr>
        <w:t xml:space="preserve">%) and </w:t>
      </w:r>
      <w:r w:rsidRPr="00EF05F2">
        <w:rPr>
          <w:iCs/>
          <w:lang w:val="en-MY"/>
        </w:rPr>
        <w:t>Acinetobacter</w:t>
      </w:r>
      <w:r w:rsidRPr="00EF05F2">
        <w:rPr>
          <w:i w:val="0"/>
          <w:lang w:val="en-MY"/>
        </w:rPr>
        <w:t xml:space="preserve"> (3.95</w:t>
      </w:r>
      <w:r w:rsidR="00455E98">
        <w:rPr>
          <w:i w:val="0"/>
          <w:lang w:val="en-MY"/>
        </w:rPr>
        <w:t> </w:t>
      </w:r>
      <w:r w:rsidRPr="00EF05F2">
        <w:rPr>
          <w:i w:val="0"/>
          <w:lang w:val="en-MY"/>
        </w:rPr>
        <w:t>%).</w:t>
      </w:r>
      <w:r w:rsidR="00192C76">
        <w:rPr>
          <w:i w:val="0"/>
          <w:lang w:val="en-MY"/>
        </w:rPr>
        <w:t xml:space="preserve"> </w:t>
      </w:r>
      <w:r w:rsidRPr="00EF05F2">
        <w:rPr>
          <w:iCs/>
          <w:lang w:val="en-MY"/>
        </w:rPr>
        <w:t>Bacillus</w:t>
      </w:r>
      <w:r w:rsidRPr="00EF05F2">
        <w:rPr>
          <w:i w:val="0"/>
          <w:lang w:val="en-MY"/>
        </w:rPr>
        <w:t xml:space="preserve"> species produce amylases and proteases that can break down complex carbohydrates and proteins (Li et al.</w:t>
      </w:r>
      <w:r w:rsidR="007B17AA" w:rsidRPr="00EF05F2">
        <w:rPr>
          <w:i w:val="0"/>
          <w:lang w:val="en-MY"/>
        </w:rPr>
        <w:t>,</w:t>
      </w:r>
      <w:r w:rsidRPr="00EF05F2">
        <w:rPr>
          <w:i w:val="0"/>
          <w:lang w:val="en-MY"/>
        </w:rPr>
        <w:t xml:space="preserve"> 2023)</w:t>
      </w:r>
      <w:r w:rsidR="00C65D2B" w:rsidRPr="00EF05F2">
        <w:rPr>
          <w:i w:val="0"/>
          <w:lang w:val="en-MY"/>
        </w:rPr>
        <w:t xml:space="preserve"> </w:t>
      </w:r>
      <w:proofErr w:type="gramStart"/>
      <w:r w:rsidR="00C65D2B" w:rsidRPr="00EF05F2">
        <w:rPr>
          <w:i w:val="0"/>
          <w:lang w:val="en-MY"/>
        </w:rPr>
        <w:t>and also</w:t>
      </w:r>
      <w:proofErr w:type="gramEnd"/>
      <w:r w:rsidR="00C65D2B" w:rsidRPr="00EF05F2">
        <w:rPr>
          <w:i w:val="0"/>
          <w:lang w:val="en-MY"/>
        </w:rPr>
        <w:t xml:space="preserve"> </w:t>
      </w:r>
      <w:r w:rsidRPr="00EF05F2">
        <w:rPr>
          <w:i w:val="0"/>
          <w:lang w:val="en-MY"/>
        </w:rPr>
        <w:t xml:space="preserve">synthesise extracellular polysaccharides </w:t>
      </w:r>
      <w:r w:rsidR="009D3B88" w:rsidRPr="00EF05F2">
        <w:rPr>
          <w:i w:val="0"/>
          <w:lang w:val="en-MY"/>
        </w:rPr>
        <w:t>and</w:t>
      </w:r>
      <w:r w:rsidRPr="00EF05F2">
        <w:rPr>
          <w:i w:val="0"/>
          <w:lang w:val="en-MY"/>
        </w:rPr>
        <w:t xml:space="preserve"> antimicrobial lipopeptides which </w:t>
      </w:r>
      <w:r w:rsidR="009D3B88" w:rsidRPr="00EF05F2">
        <w:rPr>
          <w:i w:val="0"/>
          <w:lang w:val="en-MY"/>
        </w:rPr>
        <w:t>inhibit</w:t>
      </w:r>
      <w:r w:rsidRPr="00EF05F2">
        <w:rPr>
          <w:i w:val="0"/>
          <w:lang w:val="en-MY"/>
        </w:rPr>
        <w:t xml:space="preserve"> spoilage and pathogenic microorganisms (</w:t>
      </w:r>
      <w:r w:rsidR="007F16F3" w:rsidRPr="00EF05F2">
        <w:rPr>
          <w:i w:val="0"/>
          <w:lang w:val="en-MY"/>
        </w:rPr>
        <w:t>Gopikrishna et al.</w:t>
      </w:r>
      <w:r w:rsidR="007B17AA" w:rsidRPr="00EF05F2">
        <w:rPr>
          <w:i w:val="0"/>
          <w:lang w:val="en-MY"/>
        </w:rPr>
        <w:t>,</w:t>
      </w:r>
      <w:r w:rsidR="007F16F3" w:rsidRPr="00EF05F2">
        <w:rPr>
          <w:i w:val="0"/>
          <w:lang w:val="en-MY"/>
        </w:rPr>
        <w:t xml:space="preserve"> 2021</w:t>
      </w:r>
      <w:r w:rsidRPr="00EF05F2">
        <w:rPr>
          <w:i w:val="0"/>
          <w:lang w:val="en-MY"/>
        </w:rPr>
        <w:t xml:space="preserve">). </w:t>
      </w:r>
      <w:r w:rsidRPr="00EF05F2">
        <w:rPr>
          <w:iCs/>
          <w:lang w:val="en-MY"/>
        </w:rPr>
        <w:t xml:space="preserve">Bacillus </w:t>
      </w:r>
      <w:r w:rsidRPr="00EF05F2">
        <w:rPr>
          <w:i w:val="0"/>
          <w:lang w:val="en-MY"/>
        </w:rPr>
        <w:t xml:space="preserve">is recognised as probiotics and have demonstrated </w:t>
      </w:r>
      <w:r w:rsidR="00C65D2B" w:rsidRPr="00EF05F2">
        <w:rPr>
          <w:i w:val="0"/>
          <w:lang w:val="en-MY"/>
        </w:rPr>
        <w:t xml:space="preserve">significant health </w:t>
      </w:r>
      <w:r w:rsidR="009D3B88" w:rsidRPr="00EF05F2">
        <w:rPr>
          <w:i w:val="0"/>
          <w:lang w:val="en-MY"/>
        </w:rPr>
        <w:t>benefits</w:t>
      </w:r>
      <w:r w:rsidRPr="00EF05F2">
        <w:rPr>
          <w:i w:val="0"/>
          <w:lang w:val="en-MY"/>
        </w:rPr>
        <w:t>, including the support of digestion, improvement of nutrient absorption</w:t>
      </w:r>
      <w:r w:rsidR="00B724E6">
        <w:rPr>
          <w:i w:val="0"/>
          <w:lang w:val="en-MY"/>
        </w:rPr>
        <w:t xml:space="preserve"> (</w:t>
      </w:r>
      <w:proofErr w:type="spellStart"/>
      <w:r w:rsidR="00B724E6" w:rsidRPr="00EF05F2">
        <w:rPr>
          <w:i w:val="0"/>
          <w:lang w:val="en-MY"/>
        </w:rPr>
        <w:t>Elshaghabee</w:t>
      </w:r>
      <w:proofErr w:type="spellEnd"/>
      <w:r w:rsidR="00B724E6" w:rsidRPr="00EF05F2">
        <w:rPr>
          <w:i w:val="0"/>
          <w:lang w:val="en-MY"/>
        </w:rPr>
        <w:t xml:space="preserve"> et al., 2017</w:t>
      </w:r>
      <w:r w:rsidR="00B724E6">
        <w:rPr>
          <w:i w:val="0"/>
          <w:lang w:val="en-MY"/>
        </w:rPr>
        <w:t>)</w:t>
      </w:r>
      <w:r w:rsidR="00C65D2B" w:rsidRPr="00EF05F2">
        <w:rPr>
          <w:i w:val="0"/>
          <w:lang w:val="en-MY"/>
        </w:rPr>
        <w:t xml:space="preserve">, </w:t>
      </w:r>
      <w:r w:rsidRPr="00EF05F2">
        <w:rPr>
          <w:i w:val="0"/>
          <w:lang w:val="en-MY"/>
        </w:rPr>
        <w:t>gastric issues, cancer and hepatic disease (Gopikrishna et al.</w:t>
      </w:r>
      <w:r w:rsidR="007B17AA" w:rsidRPr="00EF05F2">
        <w:rPr>
          <w:i w:val="0"/>
          <w:lang w:val="en-MY"/>
        </w:rPr>
        <w:t>,</w:t>
      </w:r>
      <w:r w:rsidRPr="00EF05F2">
        <w:rPr>
          <w:i w:val="0"/>
          <w:lang w:val="en-MY"/>
        </w:rPr>
        <w:t xml:space="preserve"> 2021). </w:t>
      </w:r>
      <w:proofErr w:type="spellStart"/>
      <w:r w:rsidRPr="00EF05F2">
        <w:rPr>
          <w:iCs/>
          <w:lang w:val="en-MY"/>
        </w:rPr>
        <w:t>Weissella</w:t>
      </w:r>
      <w:proofErr w:type="spellEnd"/>
      <w:r w:rsidRPr="00EF05F2">
        <w:rPr>
          <w:iCs/>
          <w:lang w:val="en-MY"/>
        </w:rPr>
        <w:t xml:space="preserve"> </w:t>
      </w:r>
      <w:r w:rsidRPr="00EF05F2">
        <w:rPr>
          <w:i w:val="0"/>
          <w:lang w:val="en-MY"/>
        </w:rPr>
        <w:t>are lactic acid bacteria that contribute to distinctive flavours and aromas of fermented products and are increasingly recognised for their potential probiotic properties (Yulandi</w:t>
      </w:r>
      <w:r w:rsidR="007F16F3" w:rsidRPr="00EF05F2">
        <w:rPr>
          <w:i w:val="0"/>
          <w:lang w:val="en-MY"/>
        </w:rPr>
        <w:t xml:space="preserve"> et al.</w:t>
      </w:r>
      <w:r w:rsidR="007B17AA" w:rsidRPr="00EF05F2">
        <w:rPr>
          <w:i w:val="0"/>
          <w:lang w:val="en-MY"/>
        </w:rPr>
        <w:t>,</w:t>
      </w:r>
      <w:r w:rsidR="007F16F3" w:rsidRPr="00EF05F2">
        <w:rPr>
          <w:i w:val="0"/>
          <w:lang w:val="en-MY"/>
        </w:rPr>
        <w:t xml:space="preserve"> </w:t>
      </w:r>
      <w:r w:rsidRPr="00EF05F2">
        <w:rPr>
          <w:i w:val="0"/>
          <w:lang w:val="en-MY"/>
        </w:rPr>
        <w:t>2020).</w:t>
      </w:r>
      <w:r w:rsidRPr="002522B8">
        <w:rPr>
          <w:i w:val="0"/>
          <w:lang w:val="en-MY"/>
        </w:rPr>
        <w:t xml:space="preserve"> </w:t>
      </w:r>
      <w:proofErr w:type="spellStart"/>
      <w:r w:rsidR="00192C76" w:rsidRPr="00FA538F">
        <w:rPr>
          <w:iCs/>
          <w:lang w:val="en-MY"/>
        </w:rPr>
        <w:t>Limosilactobacillus</w:t>
      </w:r>
      <w:proofErr w:type="spellEnd"/>
      <w:r w:rsidR="00192C76" w:rsidRPr="002522B8">
        <w:rPr>
          <w:i w:val="0"/>
          <w:lang w:val="en-MY"/>
        </w:rPr>
        <w:t xml:space="preserve"> has been demonstrated to improve gut health by maintaining microbiota balance</w:t>
      </w:r>
      <w:r w:rsidR="00192C76">
        <w:rPr>
          <w:i w:val="0"/>
          <w:lang w:val="en-MY"/>
        </w:rPr>
        <w:t xml:space="preserve"> and </w:t>
      </w:r>
      <w:r w:rsidR="00192C76" w:rsidRPr="002522B8">
        <w:rPr>
          <w:i w:val="0"/>
          <w:lang w:val="en-MY"/>
        </w:rPr>
        <w:t>producing antimicrobial compounds such as organic acids and caries prevention through its inhibitory activity in vitro against cariogenic bacteria (Félix-Sicairos et al.,</w:t>
      </w:r>
      <w:r w:rsidR="00192C76">
        <w:rPr>
          <w:i w:val="0"/>
          <w:lang w:val="en-MY"/>
        </w:rPr>
        <w:t xml:space="preserve"> </w:t>
      </w:r>
      <w:r w:rsidR="00192C76" w:rsidRPr="002522B8">
        <w:rPr>
          <w:i w:val="0"/>
          <w:lang w:val="en-MY"/>
        </w:rPr>
        <w:t>2024).</w:t>
      </w:r>
      <w:r w:rsidR="00192C76">
        <w:rPr>
          <w:i w:val="0"/>
          <w:lang w:val="en-MY"/>
        </w:rPr>
        <w:t xml:space="preserve"> </w:t>
      </w:r>
      <w:r w:rsidRPr="002522B8">
        <w:rPr>
          <w:i w:val="0"/>
          <w:lang w:val="en-MY"/>
        </w:rPr>
        <w:t xml:space="preserve">Some </w:t>
      </w:r>
      <w:r w:rsidRPr="007F16F3">
        <w:rPr>
          <w:iCs/>
          <w:lang w:val="en-MY"/>
        </w:rPr>
        <w:t>Acinetobacter</w:t>
      </w:r>
      <w:r w:rsidRPr="002522B8">
        <w:rPr>
          <w:i w:val="0"/>
          <w:lang w:val="en-MY"/>
        </w:rPr>
        <w:t xml:space="preserve"> strains have been explored for </w:t>
      </w:r>
      <w:r w:rsidR="00C65D2B">
        <w:rPr>
          <w:i w:val="0"/>
          <w:lang w:val="en-MY"/>
        </w:rPr>
        <w:t>producing</w:t>
      </w:r>
      <w:r w:rsidRPr="002522B8">
        <w:rPr>
          <w:i w:val="0"/>
          <w:lang w:val="en-MY"/>
        </w:rPr>
        <w:t xml:space="preserve"> bioactive compounds, including antimicrobial peptides (Roy</w:t>
      </w:r>
      <w:r w:rsidR="007F16F3">
        <w:rPr>
          <w:i w:val="0"/>
          <w:lang w:val="en-MY"/>
        </w:rPr>
        <w:t xml:space="preserve"> et</w:t>
      </w:r>
      <w:r w:rsidR="001E55E1">
        <w:rPr>
          <w:i w:val="0"/>
          <w:lang w:val="en-MY"/>
        </w:rPr>
        <w:t xml:space="preserve"> al.</w:t>
      </w:r>
      <w:r w:rsidR="007B17AA">
        <w:rPr>
          <w:i w:val="0"/>
          <w:lang w:val="en-MY"/>
        </w:rPr>
        <w:t>,</w:t>
      </w:r>
      <w:r w:rsidR="007F16F3">
        <w:rPr>
          <w:i w:val="0"/>
          <w:lang w:val="en-MY"/>
        </w:rPr>
        <w:t xml:space="preserve"> </w:t>
      </w:r>
      <w:r w:rsidRPr="002522B8">
        <w:rPr>
          <w:i w:val="0"/>
          <w:lang w:val="en-MY"/>
        </w:rPr>
        <w:t xml:space="preserve">2022). </w:t>
      </w:r>
      <w:r w:rsidR="00A5653E" w:rsidRPr="00A5653E">
        <w:rPr>
          <w:i w:val="0"/>
          <w:lang w:val="en-MY"/>
        </w:rPr>
        <w:t>Although</w:t>
      </w:r>
      <w:r w:rsidR="00A5653E" w:rsidRPr="00A5653E">
        <w:rPr>
          <w:iCs/>
          <w:lang w:val="en-MY"/>
        </w:rPr>
        <w:t xml:space="preserve"> Lactobacillus</w:t>
      </w:r>
      <w:r w:rsidR="00A5653E" w:rsidRPr="00A5653E">
        <w:rPr>
          <w:i w:val="0"/>
          <w:lang w:val="en-MY"/>
        </w:rPr>
        <w:t xml:space="preserve"> is often associated with </w:t>
      </w:r>
      <w:r w:rsidR="00A5653E" w:rsidRPr="00A5653E">
        <w:rPr>
          <w:i w:val="0"/>
          <w:lang w:val="en-MY"/>
        </w:rPr>
        <w:lastRenderedPageBreak/>
        <w:t xml:space="preserve">mounting clinical </w:t>
      </w:r>
      <w:proofErr w:type="gramStart"/>
      <w:r w:rsidR="00A5653E" w:rsidRPr="00A5653E">
        <w:rPr>
          <w:i w:val="0"/>
          <w:lang w:val="en-MY"/>
        </w:rPr>
        <w:t>evidences</w:t>
      </w:r>
      <w:proofErr w:type="gramEnd"/>
      <w:r w:rsidR="00A5653E" w:rsidRPr="00A5653E">
        <w:rPr>
          <w:i w:val="0"/>
          <w:lang w:val="en-MY"/>
        </w:rPr>
        <w:t xml:space="preserve"> in supporting health benefits</w:t>
      </w:r>
      <w:r w:rsidR="00A5653E">
        <w:rPr>
          <w:i w:val="0"/>
          <w:lang w:val="en-MY"/>
        </w:rPr>
        <w:t xml:space="preserve">, </w:t>
      </w:r>
      <w:r w:rsidR="00A5653E" w:rsidRPr="00A5653E">
        <w:rPr>
          <w:iCs/>
          <w:lang w:val="en-MY"/>
        </w:rPr>
        <w:t>Bacillus,</w:t>
      </w:r>
      <w:r w:rsidR="00A5653E" w:rsidRPr="00A5653E">
        <w:rPr>
          <w:i w:val="0"/>
          <w:lang w:val="en-MY"/>
        </w:rPr>
        <w:t xml:space="preserve"> spore-forming bacteria is said to have advantages over the </w:t>
      </w:r>
      <w:r w:rsidR="00A5653E" w:rsidRPr="00192C76">
        <w:rPr>
          <w:iCs/>
          <w:lang w:val="en-MY"/>
        </w:rPr>
        <w:t>Lactobacillus</w:t>
      </w:r>
      <w:r w:rsidR="00A5653E" w:rsidRPr="00A5653E">
        <w:rPr>
          <w:i w:val="0"/>
          <w:lang w:val="en-MY"/>
        </w:rPr>
        <w:t xml:space="preserve"> species as it is heat stable and can be stored at room temperature without any deleterious effects on its viability </w:t>
      </w:r>
      <w:proofErr w:type="gramStart"/>
      <w:r w:rsidR="00A5653E" w:rsidRPr="00A5653E">
        <w:rPr>
          <w:i w:val="0"/>
          <w:lang w:val="en-MY"/>
        </w:rPr>
        <w:t>and also</w:t>
      </w:r>
      <w:proofErr w:type="gramEnd"/>
      <w:r w:rsidR="00A5653E" w:rsidRPr="00A5653E">
        <w:rPr>
          <w:i w:val="0"/>
          <w:lang w:val="en-MY"/>
        </w:rPr>
        <w:t xml:space="preserve"> being resistant to acidic gastric environment.</w:t>
      </w:r>
    </w:p>
    <w:p w14:paraId="651A047E" w14:textId="77777777" w:rsidR="008517D2" w:rsidRDefault="008517D2" w:rsidP="0026492E">
      <w:pPr>
        <w:pStyle w:val="CETCaption"/>
        <w:rPr>
          <w:i w:val="0"/>
          <w:lang w:val="en-MY"/>
        </w:rPr>
      </w:pPr>
    </w:p>
    <w:p w14:paraId="5C6C4697" w14:textId="5AAE13E2" w:rsidR="002522B8" w:rsidRDefault="002522B8" w:rsidP="0026492E">
      <w:pPr>
        <w:pStyle w:val="CETCaption"/>
        <w:rPr>
          <w:i w:val="0"/>
          <w:lang w:val="en-MY"/>
        </w:rPr>
      </w:pPr>
      <w:r w:rsidRPr="00C1654D">
        <w:rPr>
          <w:rFonts w:cs="Arial"/>
          <w:noProof/>
        </w:rPr>
        <w:drawing>
          <wp:inline distT="0" distB="0" distL="0" distR="0" wp14:anchorId="633DAE26" wp14:editId="5316046F">
            <wp:extent cx="4411980" cy="2545080"/>
            <wp:effectExtent l="0" t="0" r="7620" b="7620"/>
            <wp:docPr id="1809652765" name="Chart 1">
              <a:extLst xmlns:a="http://schemas.openxmlformats.org/drawingml/2006/main">
                <a:ext uri="{FF2B5EF4-FFF2-40B4-BE49-F238E27FC236}">
                  <a16:creationId xmlns:a16="http://schemas.microsoft.com/office/drawing/2014/main" id="{609D8120-455A-4BC9-A1D8-BE6E12B371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13EB5F" w14:textId="5F2DE427" w:rsidR="0026492E" w:rsidRPr="00BD077D" w:rsidRDefault="0026492E" w:rsidP="0026492E">
      <w:pPr>
        <w:pStyle w:val="CETCaption"/>
      </w:pPr>
      <w:r w:rsidRPr="00BD077D">
        <w:rPr>
          <w:rStyle w:val="CETCaptionCarattere"/>
          <w:i/>
        </w:rPr>
        <w:t xml:space="preserve">Figure 1: </w:t>
      </w:r>
      <w:r w:rsidR="002522B8" w:rsidRPr="002522B8">
        <w:rPr>
          <w:lang w:val="en-MY"/>
        </w:rPr>
        <w:t xml:space="preserve">Abundance Percentage of Bacterial Composition of Milk Kefir and </w:t>
      </w:r>
      <w:r w:rsidR="002522B8" w:rsidRPr="002522B8">
        <w:rPr>
          <w:iCs/>
          <w:lang w:val="en-MY"/>
        </w:rPr>
        <w:t>Tempeh</w:t>
      </w:r>
    </w:p>
    <w:p w14:paraId="68D26B83" w14:textId="0B78EADA" w:rsidR="00600535" w:rsidRPr="00B57B36" w:rsidRDefault="00600535" w:rsidP="00600535">
      <w:pPr>
        <w:pStyle w:val="CETHeading1"/>
        <w:rPr>
          <w:lang w:val="en-GB"/>
        </w:rPr>
      </w:pPr>
      <w:r w:rsidRPr="00B57B36">
        <w:rPr>
          <w:lang w:val="en-GB"/>
        </w:rPr>
        <w:t>Conclusions</w:t>
      </w:r>
    </w:p>
    <w:p w14:paraId="52F95DF9" w14:textId="675BAF3A" w:rsidR="002522B8" w:rsidRDefault="002522B8" w:rsidP="002522B8">
      <w:pPr>
        <w:pStyle w:val="CETHeadingxx"/>
        <w:jc w:val="both"/>
        <w:rPr>
          <w:b w:val="0"/>
          <w:lang w:val="en-GB"/>
        </w:rPr>
      </w:pPr>
      <w:r w:rsidRPr="002522B8">
        <w:rPr>
          <w:b w:val="0"/>
          <w:lang w:val="en-GB"/>
        </w:rPr>
        <w:t xml:space="preserve">Optimising </w:t>
      </w:r>
      <w:r w:rsidRPr="007B17AA">
        <w:rPr>
          <w:b w:val="0"/>
          <w:i/>
          <w:iCs/>
          <w:lang w:val="en-GB"/>
        </w:rPr>
        <w:t>tempeh</w:t>
      </w:r>
      <w:r w:rsidRPr="002522B8">
        <w:rPr>
          <w:b w:val="0"/>
          <w:lang w:val="en-GB"/>
        </w:rPr>
        <w:t xml:space="preserve"> and milk kefir fermentation has helped bridge traditional fermentation practices to a more systematic and scientific approach of producing consistent and better quality of fermented products especially in </w:t>
      </w:r>
      <w:r w:rsidR="00A91FDA">
        <w:rPr>
          <w:b w:val="0"/>
          <w:lang w:val="en-GB"/>
        </w:rPr>
        <w:t xml:space="preserve">enhanced </w:t>
      </w:r>
      <w:r w:rsidRPr="002522B8">
        <w:rPr>
          <w:b w:val="0"/>
          <w:lang w:val="en-GB"/>
        </w:rPr>
        <w:t>lactic acid bacteria count which is associated with probiotics</w:t>
      </w:r>
      <w:r w:rsidR="00A91FDA">
        <w:rPr>
          <w:b w:val="0"/>
          <w:lang w:val="en-GB"/>
        </w:rPr>
        <w:t xml:space="preserve"> functions of </w:t>
      </w:r>
      <w:r w:rsidRPr="002522B8">
        <w:rPr>
          <w:b w:val="0"/>
          <w:lang w:val="en-GB"/>
        </w:rPr>
        <w:t xml:space="preserve">maintaining good gut health and strengthening immune system. The optimisation process </w:t>
      </w:r>
      <w:r w:rsidR="00A91FDA">
        <w:rPr>
          <w:b w:val="0"/>
          <w:lang w:val="en-GB"/>
        </w:rPr>
        <w:t xml:space="preserve">also seems to </w:t>
      </w:r>
      <w:r w:rsidRPr="002522B8">
        <w:rPr>
          <w:b w:val="0"/>
          <w:lang w:val="en-GB"/>
        </w:rPr>
        <w:t xml:space="preserve">play a role in the composition of microbial variability and contents although the variations microbial community may be </w:t>
      </w:r>
      <w:r w:rsidR="00A91FDA">
        <w:rPr>
          <w:b w:val="0"/>
          <w:lang w:val="en-GB"/>
        </w:rPr>
        <w:t xml:space="preserve">primarily </w:t>
      </w:r>
      <w:r w:rsidRPr="002522B8">
        <w:rPr>
          <w:b w:val="0"/>
          <w:lang w:val="en-GB"/>
        </w:rPr>
        <w:t xml:space="preserve">influenced by </w:t>
      </w:r>
      <w:r w:rsidR="00A91FDA">
        <w:rPr>
          <w:b w:val="0"/>
          <w:lang w:val="en-GB"/>
        </w:rPr>
        <w:t xml:space="preserve">sources of </w:t>
      </w:r>
      <w:r w:rsidRPr="002522B8">
        <w:rPr>
          <w:b w:val="0"/>
          <w:lang w:val="en-GB"/>
        </w:rPr>
        <w:t>raw material.</w:t>
      </w:r>
    </w:p>
    <w:p w14:paraId="459D05E6" w14:textId="77777777" w:rsidR="00600535" w:rsidRPr="00B57B36" w:rsidRDefault="00600535" w:rsidP="00600535">
      <w:pPr>
        <w:pStyle w:val="CETAcknowledgementstitle"/>
      </w:pPr>
      <w:r w:rsidRPr="00B57B36">
        <w:t>Acknowledgments</w:t>
      </w:r>
    </w:p>
    <w:p w14:paraId="29A392DB" w14:textId="435E3AC2" w:rsidR="009D3B88" w:rsidRDefault="002522B8" w:rsidP="00600535">
      <w:pPr>
        <w:pStyle w:val="CETReference"/>
      </w:pPr>
      <w:r w:rsidRPr="002522B8">
        <w:rPr>
          <w:b w:val="0"/>
          <w:lang w:val="en-MY"/>
        </w:rPr>
        <w:t xml:space="preserve">This work was supported by Ministry of Education (MOE) Malaysia through the Fundamental Research Grant Scheme with Project No. FRGS/1/2022/TK05/UPM/01/3. </w:t>
      </w:r>
    </w:p>
    <w:p w14:paraId="4F1327F8" w14:textId="2AC383C9" w:rsidR="00600535" w:rsidRPr="009D3B88" w:rsidRDefault="00600535" w:rsidP="00600535">
      <w:pPr>
        <w:pStyle w:val="CETReference"/>
        <w:rPr>
          <w:b w:val="0"/>
          <w:lang w:val="en-MY"/>
        </w:rPr>
      </w:pPr>
      <w:r w:rsidRPr="00B57B36">
        <w:t>References</w:t>
      </w:r>
    </w:p>
    <w:p w14:paraId="0BB52BD3" w14:textId="049CD6F3" w:rsidR="00746258" w:rsidRPr="00241214" w:rsidRDefault="00746258" w:rsidP="00241214">
      <w:pPr>
        <w:pStyle w:val="CETBodytext"/>
        <w:ind w:left="426" w:hanging="426"/>
        <w:rPr>
          <w:lang w:val="en-MY"/>
        </w:rPr>
      </w:pPr>
      <w:r w:rsidRPr="00241214">
        <w:rPr>
          <w:lang w:val="en-MY"/>
        </w:rPr>
        <w:t>Ajibola O.</w:t>
      </w:r>
      <w:r w:rsidR="001D456B">
        <w:rPr>
          <w:lang w:val="en-MY"/>
        </w:rPr>
        <w:t>O.</w:t>
      </w:r>
      <w:r w:rsidRPr="00241214">
        <w:rPr>
          <w:lang w:val="en-MY"/>
        </w:rPr>
        <w:t>, Thomas R.,</w:t>
      </w:r>
      <w:r w:rsidR="00241214" w:rsidRPr="00241214">
        <w:rPr>
          <w:lang w:val="en-MY"/>
        </w:rPr>
        <w:t xml:space="preserve"> </w:t>
      </w:r>
      <w:r w:rsidRPr="00241214">
        <w:rPr>
          <w:lang w:val="en-MY"/>
        </w:rPr>
        <w:t>Bakare B.F.</w:t>
      </w:r>
      <w:r w:rsidR="008D1615">
        <w:rPr>
          <w:lang w:val="en-MY"/>
        </w:rPr>
        <w:t xml:space="preserve">, </w:t>
      </w:r>
      <w:r w:rsidRPr="00241214">
        <w:rPr>
          <w:lang w:val="en-MY"/>
        </w:rPr>
        <w:t>2023</w:t>
      </w:r>
      <w:r w:rsidR="008D1615">
        <w:rPr>
          <w:lang w:val="en-MY"/>
        </w:rPr>
        <w:t>,</w:t>
      </w:r>
      <w:r w:rsidRPr="00241214">
        <w:rPr>
          <w:lang w:val="en-MY"/>
        </w:rPr>
        <w:t xml:space="preserve"> Selected fermented indigenous vegetables and fruits from Malaysia as potential sources of natural probiotics for improving gut health</w:t>
      </w:r>
      <w:r w:rsidR="00241214" w:rsidRPr="00241214">
        <w:rPr>
          <w:lang w:val="en-MY"/>
        </w:rPr>
        <w:t>,</w:t>
      </w:r>
      <w:r w:rsidRPr="00241214">
        <w:rPr>
          <w:lang w:val="en-MY"/>
        </w:rPr>
        <w:t xml:space="preserve"> </w:t>
      </w:r>
      <w:r w:rsidRPr="008D1615">
        <w:rPr>
          <w:lang w:val="en-MY"/>
        </w:rPr>
        <w:t>Food Science and Human Wellness</w:t>
      </w:r>
      <w:r w:rsidRPr="00241214">
        <w:rPr>
          <w:lang w:val="en-MY"/>
        </w:rPr>
        <w:t>, 12, 1493</w:t>
      </w:r>
      <w:r w:rsidR="009E2D63">
        <w:rPr>
          <w:lang w:val="en-MY"/>
        </w:rPr>
        <w:t>-</w:t>
      </w:r>
      <w:r w:rsidRPr="00241214">
        <w:rPr>
          <w:lang w:val="en-MY"/>
        </w:rPr>
        <w:t xml:space="preserve">1509. </w:t>
      </w:r>
    </w:p>
    <w:p w14:paraId="405EE1D8" w14:textId="71008A4F" w:rsidR="00746258" w:rsidRPr="00241214" w:rsidRDefault="00746258" w:rsidP="00241214">
      <w:pPr>
        <w:pStyle w:val="CETBodytext"/>
        <w:ind w:left="426" w:hanging="426"/>
        <w:rPr>
          <w:lang w:val="en-MY"/>
        </w:rPr>
      </w:pPr>
      <w:r w:rsidRPr="00241214">
        <w:rPr>
          <w:lang w:val="en-MY"/>
        </w:rPr>
        <w:t xml:space="preserve">Astuti M., </w:t>
      </w:r>
      <w:proofErr w:type="spellStart"/>
      <w:r w:rsidRPr="00241214">
        <w:rPr>
          <w:lang w:val="en-MY"/>
        </w:rPr>
        <w:t>Meliala</w:t>
      </w:r>
      <w:proofErr w:type="spellEnd"/>
      <w:r w:rsidRPr="00241214">
        <w:rPr>
          <w:lang w:val="en-MY"/>
        </w:rPr>
        <w:t xml:space="preserve"> A., Dalais F.S., </w:t>
      </w:r>
      <w:proofErr w:type="spellStart"/>
      <w:r w:rsidRPr="00241214">
        <w:rPr>
          <w:lang w:val="en-MY"/>
        </w:rPr>
        <w:t>Wahlqvist</w:t>
      </w:r>
      <w:proofErr w:type="spellEnd"/>
      <w:r w:rsidRPr="00241214">
        <w:rPr>
          <w:lang w:val="en-MY"/>
        </w:rPr>
        <w:t xml:space="preserve"> M. L.</w:t>
      </w:r>
      <w:r w:rsidR="00241214" w:rsidRPr="00241214">
        <w:rPr>
          <w:lang w:val="en-MY"/>
        </w:rPr>
        <w:t>,</w:t>
      </w:r>
      <w:r w:rsidRPr="00241214">
        <w:rPr>
          <w:lang w:val="en-MY"/>
        </w:rPr>
        <w:t xml:space="preserve"> 2000</w:t>
      </w:r>
      <w:r w:rsidR="008517D2">
        <w:rPr>
          <w:lang w:val="en-MY"/>
        </w:rPr>
        <w:t>,</w:t>
      </w:r>
      <w:r w:rsidRPr="00241214">
        <w:rPr>
          <w:lang w:val="en-MY"/>
        </w:rPr>
        <w:t xml:space="preserve"> </w:t>
      </w:r>
      <w:r w:rsidRPr="005B7981">
        <w:rPr>
          <w:i/>
          <w:iCs/>
          <w:lang w:val="en-MY"/>
        </w:rPr>
        <w:t>Tempe</w:t>
      </w:r>
      <w:r w:rsidRPr="00241214">
        <w:rPr>
          <w:lang w:val="en-MY"/>
        </w:rPr>
        <w:t>, a nutritious and healthy food from Indonesia. Asia Pacific Journal of Clinical Nutrition, 9, 322</w:t>
      </w:r>
      <w:r w:rsidR="001F69CD">
        <w:rPr>
          <w:lang w:val="en-MY"/>
        </w:rPr>
        <w:t>-</w:t>
      </w:r>
      <w:r w:rsidRPr="00241214">
        <w:rPr>
          <w:lang w:val="en-MY"/>
        </w:rPr>
        <w:t xml:space="preserve">325. </w:t>
      </w:r>
    </w:p>
    <w:p w14:paraId="130B020A" w14:textId="67B58034" w:rsidR="00746258" w:rsidRPr="00241214" w:rsidRDefault="00746258" w:rsidP="00241214">
      <w:pPr>
        <w:pStyle w:val="CETBodytext"/>
        <w:ind w:left="426" w:hanging="426"/>
        <w:rPr>
          <w:lang w:val="en-MY"/>
        </w:rPr>
      </w:pPr>
      <w:proofErr w:type="spellStart"/>
      <w:r w:rsidRPr="00241214">
        <w:rPr>
          <w:lang w:val="en-MY"/>
        </w:rPr>
        <w:t>Bellikci-Koyu</w:t>
      </w:r>
      <w:proofErr w:type="spellEnd"/>
      <w:r w:rsidRPr="00241214">
        <w:rPr>
          <w:lang w:val="en-MY"/>
        </w:rPr>
        <w:t xml:space="preserve"> E., </w:t>
      </w:r>
      <w:proofErr w:type="spellStart"/>
      <w:r w:rsidRPr="00241214">
        <w:rPr>
          <w:lang w:val="en-MY"/>
        </w:rPr>
        <w:t>Sarer-Yurekli</w:t>
      </w:r>
      <w:proofErr w:type="spellEnd"/>
      <w:r w:rsidR="008D1615">
        <w:rPr>
          <w:lang w:val="en-MY"/>
        </w:rPr>
        <w:t>,</w:t>
      </w:r>
      <w:r w:rsidRPr="00241214">
        <w:rPr>
          <w:lang w:val="en-MY"/>
        </w:rPr>
        <w:t xml:space="preserve"> B.P., </w:t>
      </w:r>
      <w:proofErr w:type="spellStart"/>
      <w:r w:rsidRPr="00241214">
        <w:rPr>
          <w:lang w:val="en-MY"/>
        </w:rPr>
        <w:t>Akyon</w:t>
      </w:r>
      <w:proofErr w:type="spellEnd"/>
      <w:r w:rsidRPr="00241214">
        <w:rPr>
          <w:lang w:val="en-MY"/>
        </w:rPr>
        <w:t xml:space="preserve"> Y., Aydin-Kose F., </w:t>
      </w:r>
      <w:proofErr w:type="spellStart"/>
      <w:r w:rsidRPr="00241214">
        <w:rPr>
          <w:lang w:val="en-MY"/>
        </w:rPr>
        <w:t>Karagozlu</w:t>
      </w:r>
      <w:proofErr w:type="spellEnd"/>
      <w:r w:rsidRPr="00241214">
        <w:rPr>
          <w:lang w:val="en-MY"/>
        </w:rPr>
        <w:t xml:space="preserve"> C., </w:t>
      </w:r>
      <w:proofErr w:type="spellStart"/>
      <w:r w:rsidRPr="00241214">
        <w:rPr>
          <w:lang w:val="en-MY"/>
        </w:rPr>
        <w:t>Ozgen</w:t>
      </w:r>
      <w:proofErr w:type="spellEnd"/>
      <w:r w:rsidRPr="00241214">
        <w:rPr>
          <w:lang w:val="en-MY"/>
        </w:rPr>
        <w:t xml:space="preserve"> A.G., </w:t>
      </w:r>
      <w:proofErr w:type="spellStart"/>
      <w:r w:rsidRPr="00241214">
        <w:rPr>
          <w:lang w:val="en-MY"/>
        </w:rPr>
        <w:t>Buyuktuncer</w:t>
      </w:r>
      <w:proofErr w:type="spellEnd"/>
      <w:r w:rsidRPr="00241214">
        <w:rPr>
          <w:lang w:val="en-MY"/>
        </w:rPr>
        <w:t xml:space="preserve"> Z.</w:t>
      </w:r>
      <w:r w:rsidR="00241214" w:rsidRPr="00241214">
        <w:rPr>
          <w:lang w:val="en-MY"/>
        </w:rPr>
        <w:t>,</w:t>
      </w:r>
      <w:r w:rsidRPr="00241214">
        <w:rPr>
          <w:lang w:val="en-MY"/>
        </w:rPr>
        <w:t xml:space="preserve"> 2019</w:t>
      </w:r>
      <w:r w:rsidR="008D1615">
        <w:rPr>
          <w:lang w:val="en-MY"/>
        </w:rPr>
        <w:t>,</w:t>
      </w:r>
      <w:r w:rsidRPr="00241214">
        <w:rPr>
          <w:lang w:val="en-MY"/>
        </w:rPr>
        <w:t xml:space="preserve"> Effects of </w:t>
      </w:r>
      <w:r w:rsidR="00241214" w:rsidRPr="00241214">
        <w:rPr>
          <w:lang w:val="en-MY"/>
        </w:rPr>
        <w:t>regular kefir consumption on gut microbiota in patients with metabolic syndrome</w:t>
      </w:r>
      <w:r w:rsidRPr="00241214">
        <w:rPr>
          <w:lang w:val="en-MY"/>
        </w:rPr>
        <w:t xml:space="preserve">: A </w:t>
      </w:r>
      <w:r w:rsidR="00241214" w:rsidRPr="00241214">
        <w:rPr>
          <w:lang w:val="en-MY"/>
        </w:rPr>
        <w:t>p</w:t>
      </w:r>
      <w:r w:rsidRPr="00241214">
        <w:rPr>
          <w:lang w:val="en-MY"/>
        </w:rPr>
        <w:t>arallel-</w:t>
      </w:r>
      <w:r w:rsidR="00241214" w:rsidRPr="00241214">
        <w:rPr>
          <w:lang w:val="en-MY"/>
        </w:rPr>
        <w:t>g</w:t>
      </w:r>
      <w:r w:rsidRPr="00241214">
        <w:rPr>
          <w:lang w:val="en-MY"/>
        </w:rPr>
        <w:t xml:space="preserve">roup, </w:t>
      </w:r>
      <w:r w:rsidR="00241214" w:rsidRPr="00241214">
        <w:rPr>
          <w:lang w:val="en-MY"/>
        </w:rPr>
        <w:t>r</w:t>
      </w:r>
      <w:r w:rsidRPr="00241214">
        <w:rPr>
          <w:lang w:val="en-MY"/>
        </w:rPr>
        <w:t xml:space="preserve">andomized, </w:t>
      </w:r>
      <w:r w:rsidR="00241214" w:rsidRPr="00241214">
        <w:rPr>
          <w:lang w:val="en-MY"/>
        </w:rPr>
        <w:t>c</w:t>
      </w:r>
      <w:r w:rsidRPr="00241214">
        <w:rPr>
          <w:lang w:val="en-MY"/>
        </w:rPr>
        <w:t xml:space="preserve">ontrolled </w:t>
      </w:r>
      <w:r w:rsidR="00504017">
        <w:rPr>
          <w:lang w:val="en-MY"/>
        </w:rPr>
        <w:t>s</w:t>
      </w:r>
      <w:r w:rsidRPr="00241214">
        <w:rPr>
          <w:lang w:val="en-MY"/>
        </w:rPr>
        <w:t>tudy</w:t>
      </w:r>
      <w:r w:rsidR="008D1615">
        <w:rPr>
          <w:lang w:val="en-MY"/>
        </w:rPr>
        <w:t>,</w:t>
      </w:r>
      <w:r w:rsidRPr="00241214">
        <w:rPr>
          <w:lang w:val="en-MY"/>
        </w:rPr>
        <w:t xml:space="preserve"> Nutrients, 11</w:t>
      </w:r>
      <w:r w:rsidR="005B7981">
        <w:rPr>
          <w:lang w:val="en-MY"/>
        </w:rPr>
        <w:t xml:space="preserve">, </w:t>
      </w:r>
      <w:r w:rsidR="005B7981" w:rsidRPr="005B7981">
        <w:rPr>
          <w:lang w:val="en-GB"/>
        </w:rPr>
        <w:t>2089</w:t>
      </w:r>
      <w:r w:rsidRPr="00241214">
        <w:rPr>
          <w:lang w:val="en-MY"/>
        </w:rPr>
        <w:t xml:space="preserve">. </w:t>
      </w:r>
    </w:p>
    <w:p w14:paraId="2859F760" w14:textId="629B1FF3" w:rsidR="00746258" w:rsidRPr="00241214" w:rsidRDefault="00746258" w:rsidP="00241214">
      <w:pPr>
        <w:pStyle w:val="CETBodytext"/>
        <w:ind w:left="426" w:hanging="426"/>
        <w:rPr>
          <w:lang w:val="en-MY"/>
        </w:rPr>
      </w:pPr>
      <w:r w:rsidRPr="00241214">
        <w:rPr>
          <w:lang w:val="en-MY"/>
        </w:rPr>
        <w:t>Calfee R., Piontkowski D.</w:t>
      </w:r>
      <w:r w:rsidR="008D1615">
        <w:rPr>
          <w:lang w:val="en-MY"/>
        </w:rPr>
        <w:t>,</w:t>
      </w:r>
      <w:r w:rsidRPr="00241214">
        <w:rPr>
          <w:lang w:val="en-MY"/>
        </w:rPr>
        <w:t xml:space="preserve"> 2016</w:t>
      </w:r>
      <w:r w:rsidR="008D1615">
        <w:rPr>
          <w:lang w:val="en-MY"/>
        </w:rPr>
        <w:t>,</w:t>
      </w:r>
      <w:r w:rsidRPr="00241214">
        <w:rPr>
          <w:lang w:val="en-MY"/>
        </w:rPr>
        <w:t xml:space="preserve"> Design and analysis of experiments. </w:t>
      </w:r>
      <w:r w:rsidR="00504017">
        <w:rPr>
          <w:lang w:val="en-MY"/>
        </w:rPr>
        <w:t xml:space="preserve">Chapter </w:t>
      </w:r>
      <w:r w:rsidRPr="00241214">
        <w:rPr>
          <w:lang w:val="en-MY"/>
        </w:rPr>
        <w:t>In</w:t>
      </w:r>
      <w:r w:rsidR="00504017">
        <w:rPr>
          <w:lang w:val="en-MY"/>
        </w:rPr>
        <w:t>:</w:t>
      </w:r>
      <w:r w:rsidRPr="00241214">
        <w:rPr>
          <w:lang w:val="en-MY"/>
        </w:rPr>
        <w:t xml:space="preserve"> Handbook of </w:t>
      </w:r>
      <w:r w:rsidR="009E2D63">
        <w:rPr>
          <w:lang w:val="en-MY"/>
        </w:rPr>
        <w:t>r</w:t>
      </w:r>
      <w:r w:rsidRPr="00241214">
        <w:rPr>
          <w:lang w:val="en-MY"/>
        </w:rPr>
        <w:t xml:space="preserve">eading </w:t>
      </w:r>
      <w:r w:rsidR="009E2D63">
        <w:rPr>
          <w:lang w:val="en-MY"/>
        </w:rPr>
        <w:t>r</w:t>
      </w:r>
      <w:r w:rsidRPr="00241214">
        <w:rPr>
          <w:lang w:val="en-MY"/>
        </w:rPr>
        <w:t>esearch</w:t>
      </w:r>
      <w:r w:rsidR="00504017">
        <w:rPr>
          <w:lang w:val="en-MY"/>
        </w:rPr>
        <w:t xml:space="preserve">, </w:t>
      </w:r>
      <w:r w:rsidR="00B724E6" w:rsidRPr="00B724E6">
        <w:rPr>
          <w:lang w:val="en-MY"/>
        </w:rPr>
        <w:t xml:space="preserve">CRC </w:t>
      </w:r>
      <w:r w:rsidR="00B724E6" w:rsidRPr="00B724E6">
        <w:rPr>
          <w:color w:val="000000" w:themeColor="text1"/>
          <w:lang w:val="en-MY"/>
        </w:rPr>
        <w:t>Press,</w:t>
      </w:r>
      <w:r w:rsidR="00B724E6" w:rsidRPr="00B724E6">
        <w:rPr>
          <w:color w:val="000000" w:themeColor="text1"/>
        </w:rPr>
        <w:t xml:space="preserve"> </w:t>
      </w:r>
      <w:r w:rsidR="00B724E6" w:rsidRPr="00B724E6">
        <w:rPr>
          <w:color w:val="000000" w:themeColor="text1"/>
          <w:lang w:val="en-MY"/>
        </w:rPr>
        <w:t>63-90.</w:t>
      </w:r>
    </w:p>
    <w:p w14:paraId="60100EE1" w14:textId="278099F8" w:rsidR="00746258" w:rsidRPr="00241214" w:rsidRDefault="00746258" w:rsidP="00241214">
      <w:pPr>
        <w:pStyle w:val="CETBodytext"/>
        <w:ind w:left="426" w:hanging="426"/>
        <w:rPr>
          <w:lang w:val="en-MY"/>
        </w:rPr>
      </w:pPr>
      <w:r w:rsidRPr="00241214">
        <w:rPr>
          <w:lang w:val="en-MY"/>
        </w:rPr>
        <w:t xml:space="preserve">Daji G.A., Green E., Abrahams A., Oyedeji A.B., Masenya K., </w:t>
      </w:r>
      <w:proofErr w:type="spellStart"/>
      <w:r w:rsidRPr="00241214">
        <w:rPr>
          <w:lang w:val="en-MY"/>
        </w:rPr>
        <w:t>Kondiah</w:t>
      </w:r>
      <w:proofErr w:type="spellEnd"/>
      <w:r w:rsidRPr="00241214">
        <w:rPr>
          <w:lang w:val="en-MY"/>
        </w:rPr>
        <w:t xml:space="preserve"> K., Adebo O.A.</w:t>
      </w:r>
      <w:r w:rsidR="00504017">
        <w:rPr>
          <w:lang w:val="en-MY"/>
        </w:rPr>
        <w:t>,</w:t>
      </w:r>
      <w:r w:rsidRPr="00241214">
        <w:rPr>
          <w:lang w:val="en-MY"/>
        </w:rPr>
        <w:t xml:space="preserve"> 2022</w:t>
      </w:r>
      <w:r w:rsidR="008D1615">
        <w:rPr>
          <w:lang w:val="en-MY"/>
        </w:rPr>
        <w:t>,</w:t>
      </w:r>
      <w:r w:rsidRPr="00241214">
        <w:rPr>
          <w:lang w:val="en-MY"/>
        </w:rPr>
        <w:t xml:space="preserve"> Physicochemical </w:t>
      </w:r>
      <w:r w:rsidR="00504017" w:rsidRPr="00241214">
        <w:rPr>
          <w:lang w:val="en-MY"/>
        </w:rPr>
        <w:t xml:space="preserve">properties and bacterial community profiling of optimal mahewu (a fermented food product) prepared using white and yellow maize with different </w:t>
      </w:r>
      <w:proofErr w:type="spellStart"/>
      <w:r w:rsidR="00504017" w:rsidRPr="00241214">
        <w:rPr>
          <w:lang w:val="en-MY"/>
        </w:rPr>
        <w:t>inocula</w:t>
      </w:r>
      <w:proofErr w:type="spellEnd"/>
      <w:r w:rsidR="008D4660">
        <w:rPr>
          <w:rFonts w:ascii="SimSun" w:eastAsia="SimSun" w:hAnsi="SimSun" w:cs="SimSun"/>
          <w:lang w:val="en-MY" w:eastAsia="zh-CN"/>
        </w:rPr>
        <w:t>,</w:t>
      </w:r>
      <w:r w:rsidRPr="00241214">
        <w:rPr>
          <w:lang w:val="en-MY"/>
        </w:rPr>
        <w:t xml:space="preserve"> Foods, 11, 1</w:t>
      </w:r>
      <w:r w:rsidR="001F69CD">
        <w:rPr>
          <w:lang w:val="en-MY"/>
        </w:rPr>
        <w:t>-</w:t>
      </w:r>
      <w:r w:rsidRPr="00241214">
        <w:rPr>
          <w:lang w:val="en-MY"/>
        </w:rPr>
        <w:t xml:space="preserve">14. </w:t>
      </w:r>
    </w:p>
    <w:p w14:paraId="6317A8ED" w14:textId="7FCFD323" w:rsidR="00746258" w:rsidRPr="00241214" w:rsidRDefault="00746258" w:rsidP="00241214">
      <w:pPr>
        <w:pStyle w:val="CETBodytext"/>
        <w:ind w:left="426" w:hanging="426"/>
        <w:rPr>
          <w:lang w:val="en-MY"/>
        </w:rPr>
      </w:pPr>
      <w:r w:rsidRPr="00241214">
        <w:rPr>
          <w:lang w:val="en-MY"/>
        </w:rPr>
        <w:t xml:space="preserve">De Sainz I., Redondo-Solano M., Solano G., </w:t>
      </w:r>
      <w:proofErr w:type="spellStart"/>
      <w:r w:rsidRPr="00241214">
        <w:rPr>
          <w:lang w:val="en-MY"/>
        </w:rPr>
        <w:t>RamÃ</w:t>
      </w:r>
      <w:proofErr w:type="spellEnd"/>
      <w:r w:rsidRPr="00241214">
        <w:rPr>
          <w:lang w:val="en-MY"/>
        </w:rPr>
        <w:t>, L.</w:t>
      </w:r>
      <w:r w:rsidR="00504017">
        <w:rPr>
          <w:lang w:val="en-MY"/>
        </w:rPr>
        <w:t>,</w:t>
      </w:r>
      <w:r w:rsidRPr="00241214">
        <w:rPr>
          <w:lang w:val="en-MY"/>
        </w:rPr>
        <w:t xml:space="preserve"> 2020</w:t>
      </w:r>
      <w:r w:rsidR="008D1615">
        <w:rPr>
          <w:lang w:val="en-MY"/>
        </w:rPr>
        <w:t>,</w:t>
      </w:r>
      <w:r w:rsidRPr="00241214">
        <w:rPr>
          <w:lang w:val="en-MY"/>
        </w:rPr>
        <w:t xml:space="preserve"> Short communication: Effect of different kefir grains on the attributes of kefir produced with milk from Costa Rica</w:t>
      </w:r>
      <w:r w:rsidR="008D1615">
        <w:rPr>
          <w:lang w:val="en-MY"/>
        </w:rPr>
        <w:t>,</w:t>
      </w:r>
      <w:r w:rsidRPr="00241214">
        <w:rPr>
          <w:lang w:val="en-MY"/>
        </w:rPr>
        <w:t xml:space="preserve"> Journal of Dairy Science, 103, 215</w:t>
      </w:r>
      <w:r w:rsidR="001F69CD">
        <w:rPr>
          <w:lang w:val="en-MY"/>
        </w:rPr>
        <w:t>-</w:t>
      </w:r>
      <w:r w:rsidRPr="00241214">
        <w:rPr>
          <w:lang w:val="en-MY"/>
        </w:rPr>
        <w:t xml:space="preserve">219. </w:t>
      </w:r>
    </w:p>
    <w:p w14:paraId="467ED61C" w14:textId="3A528CEF" w:rsidR="00746258" w:rsidRPr="00241214" w:rsidRDefault="00746258" w:rsidP="00241214">
      <w:pPr>
        <w:pStyle w:val="CETBodytext"/>
        <w:ind w:left="426" w:hanging="426"/>
        <w:rPr>
          <w:lang w:val="en-MY"/>
        </w:rPr>
      </w:pPr>
      <w:proofErr w:type="spellStart"/>
      <w:r w:rsidRPr="00241214">
        <w:rPr>
          <w:lang w:val="en-MY"/>
        </w:rPr>
        <w:t>Elshaghabee</w:t>
      </w:r>
      <w:proofErr w:type="spellEnd"/>
      <w:r w:rsidRPr="00241214">
        <w:rPr>
          <w:lang w:val="en-MY"/>
        </w:rPr>
        <w:t xml:space="preserve"> F.M.F., </w:t>
      </w:r>
      <w:proofErr w:type="spellStart"/>
      <w:r w:rsidRPr="00241214">
        <w:rPr>
          <w:lang w:val="en-MY"/>
        </w:rPr>
        <w:t>Rokana</w:t>
      </w:r>
      <w:proofErr w:type="spellEnd"/>
      <w:r w:rsidRPr="00241214">
        <w:rPr>
          <w:lang w:val="en-MY"/>
        </w:rPr>
        <w:t xml:space="preserve"> N., </w:t>
      </w:r>
      <w:proofErr w:type="spellStart"/>
      <w:r w:rsidRPr="00241214">
        <w:rPr>
          <w:lang w:val="en-MY"/>
        </w:rPr>
        <w:t>Gulhane</w:t>
      </w:r>
      <w:proofErr w:type="spellEnd"/>
      <w:r w:rsidRPr="00241214">
        <w:rPr>
          <w:lang w:val="en-MY"/>
        </w:rPr>
        <w:t xml:space="preserve"> R.D., Sharma C., Panwar H.</w:t>
      </w:r>
      <w:r w:rsidR="00504017">
        <w:rPr>
          <w:lang w:val="en-MY"/>
        </w:rPr>
        <w:t xml:space="preserve">, </w:t>
      </w:r>
      <w:r w:rsidRPr="00241214">
        <w:rPr>
          <w:lang w:val="en-MY"/>
        </w:rPr>
        <w:t>2017</w:t>
      </w:r>
      <w:r w:rsidR="008D1615">
        <w:rPr>
          <w:lang w:val="en-MY"/>
        </w:rPr>
        <w:t>,</w:t>
      </w:r>
      <w:r w:rsidRPr="00241214">
        <w:rPr>
          <w:lang w:val="en-MY"/>
        </w:rPr>
        <w:t xml:space="preserve"> </w:t>
      </w:r>
      <w:r w:rsidRPr="0002261C">
        <w:rPr>
          <w:i/>
          <w:iCs/>
          <w:lang w:val="en-MY"/>
        </w:rPr>
        <w:t>Bacillus</w:t>
      </w:r>
      <w:r w:rsidRPr="00241214">
        <w:rPr>
          <w:lang w:val="en-MY"/>
        </w:rPr>
        <w:t xml:space="preserve"> as potential probiotics: Status, concerns, and future perspectives</w:t>
      </w:r>
      <w:r w:rsidR="008D1615">
        <w:rPr>
          <w:lang w:val="en-MY"/>
        </w:rPr>
        <w:t>,</w:t>
      </w:r>
      <w:r w:rsidRPr="00241214">
        <w:rPr>
          <w:lang w:val="en-MY"/>
        </w:rPr>
        <w:t xml:space="preserve"> Frontiers in Microbiology, 8</w:t>
      </w:r>
      <w:r w:rsidR="0002261C">
        <w:rPr>
          <w:lang w:val="en-MY"/>
        </w:rPr>
        <w:t>, 1490</w:t>
      </w:r>
      <w:r w:rsidR="008D1615">
        <w:rPr>
          <w:lang w:val="en-MY"/>
        </w:rPr>
        <w:t>.</w:t>
      </w:r>
    </w:p>
    <w:p w14:paraId="0AE8C525" w14:textId="0673D9E4" w:rsidR="00746258" w:rsidRPr="00241214" w:rsidRDefault="00746258" w:rsidP="00241214">
      <w:pPr>
        <w:pStyle w:val="CETBodytext"/>
        <w:ind w:left="426" w:hanging="426"/>
        <w:rPr>
          <w:lang w:val="en-MY"/>
        </w:rPr>
      </w:pPr>
      <w:r w:rsidRPr="00241214">
        <w:rPr>
          <w:lang w:val="en-MY"/>
        </w:rPr>
        <w:lastRenderedPageBreak/>
        <w:t xml:space="preserve">Erkan S.B., Gürler H.N., Bilgin D.G., </w:t>
      </w:r>
      <w:proofErr w:type="spellStart"/>
      <w:r w:rsidRPr="00241214">
        <w:rPr>
          <w:lang w:val="en-MY"/>
        </w:rPr>
        <w:t>Germec</w:t>
      </w:r>
      <w:proofErr w:type="spellEnd"/>
      <w:r w:rsidRPr="00241214">
        <w:rPr>
          <w:lang w:val="en-MY"/>
        </w:rPr>
        <w:t xml:space="preserve"> M., Turhan I.</w:t>
      </w:r>
      <w:r w:rsidR="00504017">
        <w:rPr>
          <w:lang w:val="en-MY"/>
        </w:rPr>
        <w:t>,</w:t>
      </w:r>
      <w:r w:rsidRPr="00241214">
        <w:rPr>
          <w:lang w:val="en-MY"/>
        </w:rPr>
        <w:t xml:space="preserve"> 2020</w:t>
      </w:r>
      <w:r w:rsidR="008D1615">
        <w:rPr>
          <w:lang w:val="en-MY"/>
        </w:rPr>
        <w:t>,</w:t>
      </w:r>
      <w:r w:rsidRPr="00241214">
        <w:rPr>
          <w:lang w:val="en-MY"/>
        </w:rPr>
        <w:t xml:space="preserve"> Production and characterization of </w:t>
      </w:r>
      <w:proofErr w:type="spellStart"/>
      <w:r w:rsidRPr="0002261C">
        <w:rPr>
          <w:i/>
          <w:iCs/>
          <w:lang w:val="en-MY"/>
        </w:rPr>
        <w:t>tempehs</w:t>
      </w:r>
      <w:proofErr w:type="spellEnd"/>
      <w:r w:rsidRPr="0002261C">
        <w:rPr>
          <w:i/>
          <w:iCs/>
          <w:lang w:val="en-MY"/>
        </w:rPr>
        <w:t xml:space="preserve"> </w:t>
      </w:r>
      <w:r w:rsidRPr="00241214">
        <w:rPr>
          <w:lang w:val="en-MY"/>
        </w:rPr>
        <w:t xml:space="preserve">from different sources of legume by </w:t>
      </w:r>
      <w:r w:rsidRPr="00504017">
        <w:rPr>
          <w:i/>
          <w:iCs/>
          <w:lang w:val="en-MY"/>
        </w:rPr>
        <w:t xml:space="preserve">Rhizopus </w:t>
      </w:r>
      <w:proofErr w:type="spellStart"/>
      <w:r w:rsidRPr="00504017">
        <w:rPr>
          <w:i/>
          <w:iCs/>
          <w:lang w:val="en-MY"/>
        </w:rPr>
        <w:t>oligosporus</w:t>
      </w:r>
      <w:proofErr w:type="spellEnd"/>
      <w:r w:rsidR="008D4660">
        <w:rPr>
          <w:lang w:val="en-MY"/>
        </w:rPr>
        <w:t>,</w:t>
      </w:r>
      <w:r w:rsidRPr="00241214">
        <w:rPr>
          <w:lang w:val="en-MY"/>
        </w:rPr>
        <w:t xml:space="preserve"> L</w:t>
      </w:r>
      <w:r w:rsidR="00504017">
        <w:rPr>
          <w:lang w:val="en-MY"/>
        </w:rPr>
        <w:t>WT</w:t>
      </w:r>
      <w:r w:rsidRPr="00241214">
        <w:rPr>
          <w:lang w:val="en-MY"/>
        </w:rPr>
        <w:t>, 119,</w:t>
      </w:r>
      <w:r w:rsidR="00504017">
        <w:rPr>
          <w:lang w:val="en-MY"/>
        </w:rPr>
        <w:t xml:space="preserve"> </w:t>
      </w:r>
      <w:r w:rsidRPr="00241214">
        <w:rPr>
          <w:lang w:val="en-MY"/>
        </w:rPr>
        <w:t xml:space="preserve">108880. </w:t>
      </w:r>
    </w:p>
    <w:p w14:paraId="38A4287B" w14:textId="5C31B788" w:rsidR="00746258" w:rsidRPr="00241214" w:rsidRDefault="00746258" w:rsidP="00241214">
      <w:pPr>
        <w:pStyle w:val="CETBodytext"/>
        <w:ind w:left="426" w:hanging="426"/>
        <w:rPr>
          <w:lang w:val="en-MY"/>
        </w:rPr>
      </w:pPr>
      <w:r w:rsidRPr="00241214">
        <w:rPr>
          <w:lang w:val="en-MY"/>
        </w:rPr>
        <w:t>Félix-Sicairos B.K., Martinez-Martinez R.E., Aranda-Romo S., Gonzalez-Amaro R., Salgado-Bustamante M., Zavala-Alonso N.V., Alpuche-Solís Á.G.</w:t>
      </w:r>
      <w:r w:rsidR="00504017">
        <w:rPr>
          <w:lang w:val="en-MY"/>
        </w:rPr>
        <w:t xml:space="preserve">, </w:t>
      </w:r>
      <w:r w:rsidRPr="00241214">
        <w:rPr>
          <w:lang w:val="en-MY"/>
        </w:rPr>
        <w:t>2024</w:t>
      </w:r>
      <w:r w:rsidR="008D1615">
        <w:rPr>
          <w:lang w:val="en-MY"/>
        </w:rPr>
        <w:t>,</w:t>
      </w:r>
      <w:r w:rsidRPr="00241214">
        <w:rPr>
          <w:lang w:val="en-MY"/>
        </w:rPr>
        <w:t xml:space="preserve"> </w:t>
      </w:r>
      <w:proofErr w:type="spellStart"/>
      <w:r w:rsidRPr="00504017">
        <w:rPr>
          <w:i/>
          <w:iCs/>
          <w:lang w:val="en-MY"/>
        </w:rPr>
        <w:t>Limosilactobacillus</w:t>
      </w:r>
      <w:proofErr w:type="spellEnd"/>
      <w:r w:rsidRPr="00504017">
        <w:rPr>
          <w:i/>
          <w:iCs/>
          <w:lang w:val="en-MY"/>
        </w:rPr>
        <w:t xml:space="preserve"> </w:t>
      </w:r>
      <w:proofErr w:type="spellStart"/>
      <w:r w:rsidRPr="00504017">
        <w:rPr>
          <w:i/>
          <w:iCs/>
          <w:lang w:val="en-MY"/>
        </w:rPr>
        <w:t>reuteri</w:t>
      </w:r>
      <w:proofErr w:type="spellEnd"/>
      <w:r w:rsidRPr="00241214">
        <w:rPr>
          <w:lang w:val="en-MY"/>
        </w:rPr>
        <w:t xml:space="preserve"> and </w:t>
      </w:r>
      <w:r w:rsidR="00504017">
        <w:rPr>
          <w:lang w:val="en-MY"/>
        </w:rPr>
        <w:t>i</w:t>
      </w:r>
      <w:r w:rsidRPr="00241214">
        <w:rPr>
          <w:lang w:val="en-MY"/>
        </w:rPr>
        <w:t xml:space="preserve">ts </w:t>
      </w:r>
      <w:r w:rsidR="00504017" w:rsidRPr="00241214">
        <w:rPr>
          <w:lang w:val="en-MY"/>
        </w:rPr>
        <w:t>probiotic potential against cariogenic bacteria</w:t>
      </w:r>
      <w:r w:rsidR="008D1615">
        <w:rPr>
          <w:lang w:val="en-MY"/>
        </w:rPr>
        <w:t>,</w:t>
      </w:r>
      <w:r w:rsidRPr="00241214">
        <w:rPr>
          <w:lang w:val="en-MY"/>
        </w:rPr>
        <w:t xml:space="preserve"> Microbiology Research, 15, 1178</w:t>
      </w:r>
      <w:r w:rsidR="001F69CD">
        <w:rPr>
          <w:lang w:val="en-MY"/>
        </w:rPr>
        <w:t>-</w:t>
      </w:r>
      <w:r w:rsidRPr="00241214">
        <w:rPr>
          <w:lang w:val="en-MY"/>
        </w:rPr>
        <w:t xml:space="preserve">1188. </w:t>
      </w:r>
    </w:p>
    <w:p w14:paraId="1A4C30DE" w14:textId="62AA8B14" w:rsidR="00746258" w:rsidRPr="00241214" w:rsidRDefault="00746258" w:rsidP="00241214">
      <w:pPr>
        <w:pStyle w:val="CETBodytext"/>
        <w:ind w:left="426" w:hanging="426"/>
        <w:rPr>
          <w:lang w:val="en-MY"/>
        </w:rPr>
      </w:pPr>
      <w:r w:rsidRPr="00241214">
        <w:rPr>
          <w:lang w:val="en-MY"/>
        </w:rPr>
        <w:t xml:space="preserve">Gentry B., </w:t>
      </w:r>
      <w:proofErr w:type="spellStart"/>
      <w:r w:rsidRPr="00241214">
        <w:rPr>
          <w:lang w:val="en-MY"/>
        </w:rPr>
        <w:t>Cazón</w:t>
      </w:r>
      <w:proofErr w:type="spellEnd"/>
      <w:r w:rsidRPr="00241214">
        <w:rPr>
          <w:lang w:val="en-MY"/>
        </w:rPr>
        <w:t xml:space="preserve"> P.,</w:t>
      </w:r>
      <w:r w:rsidR="00504017">
        <w:rPr>
          <w:lang w:val="en-MY"/>
        </w:rPr>
        <w:t xml:space="preserve"> </w:t>
      </w:r>
      <w:r w:rsidRPr="00241214">
        <w:rPr>
          <w:lang w:val="en-MY"/>
        </w:rPr>
        <w:t>O’Brien K.</w:t>
      </w:r>
      <w:r w:rsidR="00504017">
        <w:rPr>
          <w:lang w:val="en-MY"/>
        </w:rPr>
        <w:t>,</w:t>
      </w:r>
      <w:r w:rsidRPr="00241214">
        <w:rPr>
          <w:lang w:val="en-MY"/>
        </w:rPr>
        <w:t xml:space="preserve"> 2023</w:t>
      </w:r>
      <w:r w:rsidR="008D1615">
        <w:rPr>
          <w:lang w:val="en-MY"/>
        </w:rPr>
        <w:t>,</w:t>
      </w:r>
      <w:r w:rsidRPr="00241214">
        <w:rPr>
          <w:lang w:val="en-MY"/>
        </w:rPr>
        <w:t xml:space="preserve"> A comprehensive review of the production, beneficial properties, and applications of kefiran, the kefir grain exopolysaccharide</w:t>
      </w:r>
      <w:r w:rsidR="008D1615">
        <w:rPr>
          <w:lang w:val="en-MY"/>
        </w:rPr>
        <w:t>,</w:t>
      </w:r>
      <w:r w:rsidRPr="00241214">
        <w:rPr>
          <w:lang w:val="en-MY"/>
        </w:rPr>
        <w:t xml:space="preserve"> International Dairy Journal, 144, 105691. </w:t>
      </w:r>
    </w:p>
    <w:p w14:paraId="77FB687F" w14:textId="60C54783" w:rsidR="00746258" w:rsidRPr="0002261C" w:rsidRDefault="00746258" w:rsidP="00241214">
      <w:pPr>
        <w:pStyle w:val="CETBodytext"/>
        <w:ind w:left="426" w:hanging="426"/>
        <w:rPr>
          <w:lang w:val="en-MY"/>
        </w:rPr>
      </w:pPr>
      <w:r w:rsidRPr="0002261C">
        <w:rPr>
          <w:lang w:val="en-MY"/>
        </w:rPr>
        <w:t>Gopikrishna T., Keerthana H., Kumar S., Perumal K., Elangovan, E.</w:t>
      </w:r>
      <w:r w:rsidR="00504017" w:rsidRPr="0002261C">
        <w:rPr>
          <w:lang w:val="en-MY"/>
        </w:rPr>
        <w:t>,</w:t>
      </w:r>
      <w:r w:rsidRPr="0002261C">
        <w:rPr>
          <w:lang w:val="en-MY"/>
        </w:rPr>
        <w:t xml:space="preserve"> 2021</w:t>
      </w:r>
      <w:r w:rsidR="008D1615">
        <w:rPr>
          <w:lang w:val="en-MY"/>
        </w:rPr>
        <w:t>,</w:t>
      </w:r>
      <w:r w:rsidRPr="0002261C">
        <w:rPr>
          <w:lang w:val="en-MY"/>
        </w:rPr>
        <w:t xml:space="preserve"> Impact of </w:t>
      </w:r>
      <w:r w:rsidRPr="0002261C">
        <w:rPr>
          <w:i/>
          <w:iCs/>
          <w:lang w:val="en-MY"/>
        </w:rPr>
        <w:t>Bacillus</w:t>
      </w:r>
      <w:r w:rsidRPr="0002261C">
        <w:rPr>
          <w:lang w:val="en-MY"/>
        </w:rPr>
        <w:t xml:space="preserve"> in fermented soybean foods on human health.</w:t>
      </w:r>
      <w:r w:rsidR="0002261C" w:rsidRPr="0002261C">
        <w:rPr>
          <w:lang w:val="en-MY"/>
        </w:rPr>
        <w:t xml:space="preserve"> 71, 30.</w:t>
      </w:r>
    </w:p>
    <w:p w14:paraId="02E4C4A7" w14:textId="052DFF24" w:rsidR="00746258" w:rsidRPr="00241214" w:rsidRDefault="00746258" w:rsidP="00241214">
      <w:pPr>
        <w:pStyle w:val="CETBodytext"/>
        <w:ind w:left="426" w:hanging="426"/>
        <w:rPr>
          <w:lang w:val="en-MY"/>
        </w:rPr>
      </w:pPr>
      <w:r w:rsidRPr="00241214">
        <w:rPr>
          <w:lang w:val="en-MY"/>
        </w:rPr>
        <w:t>Hachmeister K.A., Fung D.Y.C.</w:t>
      </w:r>
      <w:r w:rsidR="00504017">
        <w:rPr>
          <w:lang w:val="en-MY"/>
        </w:rPr>
        <w:t>,</w:t>
      </w:r>
      <w:r w:rsidRPr="00241214">
        <w:rPr>
          <w:lang w:val="en-MY"/>
        </w:rPr>
        <w:t xml:space="preserve"> 1993</w:t>
      </w:r>
      <w:r w:rsidR="008517D2">
        <w:rPr>
          <w:lang w:val="en-MY"/>
        </w:rPr>
        <w:t>,</w:t>
      </w:r>
      <w:r w:rsidRPr="00241214">
        <w:rPr>
          <w:lang w:val="en-MY"/>
        </w:rPr>
        <w:t xml:space="preserve"> </w:t>
      </w:r>
      <w:r w:rsidRPr="00504017">
        <w:rPr>
          <w:i/>
          <w:iCs/>
          <w:lang w:val="en-MY"/>
        </w:rPr>
        <w:t>Tempeh</w:t>
      </w:r>
      <w:r w:rsidRPr="00241214">
        <w:rPr>
          <w:lang w:val="en-MY"/>
        </w:rPr>
        <w:t xml:space="preserve">: A </w:t>
      </w:r>
      <w:proofErr w:type="spellStart"/>
      <w:r w:rsidR="00504017">
        <w:rPr>
          <w:lang w:val="en-MY"/>
        </w:rPr>
        <w:t>m</w:t>
      </w:r>
      <w:r w:rsidRPr="00241214">
        <w:rPr>
          <w:lang w:val="en-MY"/>
        </w:rPr>
        <w:t>old</w:t>
      </w:r>
      <w:proofErr w:type="spellEnd"/>
      <w:r w:rsidRPr="00241214">
        <w:rPr>
          <w:lang w:val="en-MY"/>
        </w:rPr>
        <w:t>-modified indigenous fermented food made from soybeans and/or cereal grains. Critical Reviews in Microbiology, 19,</w:t>
      </w:r>
      <w:r w:rsidR="00504017">
        <w:rPr>
          <w:lang w:val="en-MY"/>
        </w:rPr>
        <w:t xml:space="preserve"> </w:t>
      </w:r>
      <w:r w:rsidRPr="00241214">
        <w:rPr>
          <w:lang w:val="en-MY"/>
        </w:rPr>
        <w:t>137</w:t>
      </w:r>
      <w:r w:rsidR="001F69CD">
        <w:rPr>
          <w:lang w:val="en-MY"/>
        </w:rPr>
        <w:t>-</w:t>
      </w:r>
      <w:r w:rsidRPr="00241214">
        <w:rPr>
          <w:lang w:val="en-MY"/>
        </w:rPr>
        <w:t xml:space="preserve">188. </w:t>
      </w:r>
    </w:p>
    <w:p w14:paraId="1D58FF88" w14:textId="668B54EE" w:rsidR="00746258" w:rsidRPr="00241214" w:rsidRDefault="00746258" w:rsidP="00241214">
      <w:pPr>
        <w:pStyle w:val="CETBodytext"/>
        <w:ind w:left="426" w:hanging="426"/>
        <w:rPr>
          <w:lang w:val="en-MY"/>
        </w:rPr>
      </w:pPr>
      <w:proofErr w:type="spellStart"/>
      <w:r w:rsidRPr="00241214">
        <w:rPr>
          <w:lang w:val="en-MY"/>
        </w:rPr>
        <w:t>Handoyo</w:t>
      </w:r>
      <w:proofErr w:type="spellEnd"/>
      <w:r w:rsidRPr="00241214">
        <w:rPr>
          <w:lang w:val="en-MY"/>
        </w:rPr>
        <w:t xml:space="preserve"> T., Morita, N.</w:t>
      </w:r>
      <w:r w:rsidR="00504017">
        <w:rPr>
          <w:lang w:val="en-MY"/>
        </w:rPr>
        <w:t xml:space="preserve">, </w:t>
      </w:r>
      <w:r w:rsidRPr="00241214">
        <w:rPr>
          <w:lang w:val="en-MY"/>
        </w:rPr>
        <w:t>2006</w:t>
      </w:r>
      <w:r w:rsidR="008517D2">
        <w:rPr>
          <w:lang w:val="en-MY"/>
        </w:rPr>
        <w:t>,</w:t>
      </w:r>
      <w:r w:rsidRPr="00241214">
        <w:rPr>
          <w:lang w:val="en-MY"/>
        </w:rPr>
        <w:t xml:space="preserve"> Structural and functional properties of fermented soybean (</w:t>
      </w:r>
      <w:r w:rsidR="00504017">
        <w:rPr>
          <w:lang w:val="en-MY"/>
        </w:rPr>
        <w:t>t</w:t>
      </w:r>
      <w:r w:rsidRPr="00504017">
        <w:rPr>
          <w:i/>
          <w:iCs/>
          <w:lang w:val="en-MY"/>
        </w:rPr>
        <w:t>empeh</w:t>
      </w:r>
      <w:r w:rsidRPr="00241214">
        <w:rPr>
          <w:lang w:val="en-MY"/>
        </w:rPr>
        <w:t xml:space="preserve">) by using </w:t>
      </w:r>
      <w:proofErr w:type="spellStart"/>
      <w:r w:rsidRPr="00504017">
        <w:rPr>
          <w:i/>
          <w:iCs/>
          <w:lang w:val="en-MY"/>
        </w:rPr>
        <w:t>rhizopus</w:t>
      </w:r>
      <w:proofErr w:type="spellEnd"/>
      <w:r w:rsidRPr="00504017">
        <w:rPr>
          <w:i/>
          <w:iCs/>
          <w:lang w:val="en-MY"/>
        </w:rPr>
        <w:t xml:space="preserve"> </w:t>
      </w:r>
      <w:proofErr w:type="spellStart"/>
      <w:r w:rsidRPr="00504017">
        <w:rPr>
          <w:i/>
          <w:iCs/>
          <w:lang w:val="en-MY"/>
        </w:rPr>
        <w:t>oligosporus</w:t>
      </w:r>
      <w:proofErr w:type="spellEnd"/>
      <w:r w:rsidR="008D4660">
        <w:rPr>
          <w:lang w:val="en-MY"/>
        </w:rPr>
        <w:t>,</w:t>
      </w:r>
      <w:r w:rsidRPr="00241214">
        <w:rPr>
          <w:lang w:val="en-MY"/>
        </w:rPr>
        <w:t xml:space="preserve"> International Journal of Food Properties, 9, 347</w:t>
      </w:r>
      <w:r w:rsidR="001F69CD">
        <w:rPr>
          <w:lang w:val="en-MY"/>
        </w:rPr>
        <w:t>-</w:t>
      </w:r>
      <w:r w:rsidRPr="00241214">
        <w:rPr>
          <w:lang w:val="en-MY"/>
        </w:rPr>
        <w:t xml:space="preserve">355. </w:t>
      </w:r>
    </w:p>
    <w:p w14:paraId="7A4FB51C" w14:textId="64381C56" w:rsidR="00746258" w:rsidRPr="00241214" w:rsidRDefault="00746258" w:rsidP="00241214">
      <w:pPr>
        <w:pStyle w:val="CETBodytext"/>
        <w:ind w:left="426" w:hanging="426"/>
        <w:rPr>
          <w:lang w:val="en-MY"/>
        </w:rPr>
      </w:pPr>
      <w:r w:rsidRPr="0002261C">
        <w:rPr>
          <w:lang w:val="en-MY"/>
        </w:rPr>
        <w:t>Hasbullah, Silvy</w:t>
      </w:r>
      <w:r w:rsidRPr="00241214">
        <w:rPr>
          <w:lang w:val="en-MY"/>
        </w:rPr>
        <w:t>, D.</w:t>
      </w:r>
      <w:r w:rsidR="00504017">
        <w:rPr>
          <w:lang w:val="en-MY"/>
        </w:rPr>
        <w:t>,</w:t>
      </w:r>
      <w:r w:rsidRPr="00241214">
        <w:rPr>
          <w:lang w:val="en-MY"/>
        </w:rPr>
        <w:t xml:space="preserve"> 2020</w:t>
      </w:r>
      <w:r w:rsidR="008517D2">
        <w:rPr>
          <w:lang w:val="en-MY"/>
        </w:rPr>
        <w:t>,</w:t>
      </w:r>
      <w:r w:rsidRPr="00241214">
        <w:rPr>
          <w:lang w:val="en-MY"/>
        </w:rPr>
        <w:t xml:space="preserve"> Study of </w:t>
      </w:r>
      <w:proofErr w:type="spellStart"/>
      <w:r w:rsidR="00504017" w:rsidRPr="00504017">
        <w:rPr>
          <w:i/>
          <w:iCs/>
          <w:lang w:val="en-MY"/>
        </w:rPr>
        <w:t>tempe</w:t>
      </w:r>
      <w:proofErr w:type="spellEnd"/>
      <w:r w:rsidR="00504017" w:rsidRPr="00241214">
        <w:rPr>
          <w:lang w:val="en-MY"/>
        </w:rPr>
        <w:t xml:space="preserve"> production from dried peeled soybeans</w:t>
      </w:r>
      <w:r w:rsidRPr="00241214">
        <w:rPr>
          <w:lang w:val="en-MY"/>
        </w:rPr>
        <w:t>. IOP Conference Series: Earth and Environmental Science, 515</w:t>
      </w:r>
      <w:r w:rsidR="0002261C">
        <w:rPr>
          <w:lang w:val="en-MY"/>
        </w:rPr>
        <w:t xml:space="preserve">, </w:t>
      </w:r>
      <w:r w:rsidR="0002261C" w:rsidRPr="0002261C">
        <w:rPr>
          <w:lang w:val="en-GB"/>
        </w:rPr>
        <w:t>12059</w:t>
      </w:r>
      <w:r w:rsidRPr="00241214">
        <w:rPr>
          <w:lang w:val="en-MY"/>
        </w:rPr>
        <w:t xml:space="preserve">. </w:t>
      </w:r>
    </w:p>
    <w:p w14:paraId="5EE3E68F" w14:textId="3EB02181" w:rsidR="00746258" w:rsidRPr="00241214" w:rsidRDefault="00746258" w:rsidP="00241214">
      <w:pPr>
        <w:pStyle w:val="CETBodytext"/>
        <w:ind w:left="426" w:hanging="426"/>
        <w:rPr>
          <w:lang w:val="en-MY"/>
        </w:rPr>
      </w:pPr>
      <w:proofErr w:type="spellStart"/>
      <w:r w:rsidRPr="00241214">
        <w:rPr>
          <w:lang w:val="en-MY"/>
        </w:rPr>
        <w:t>Hecer</w:t>
      </w:r>
      <w:proofErr w:type="spellEnd"/>
      <w:r w:rsidRPr="00241214">
        <w:rPr>
          <w:lang w:val="en-MY"/>
        </w:rPr>
        <w:t xml:space="preserve"> C., Ulusoy B., </w:t>
      </w:r>
      <w:proofErr w:type="spellStart"/>
      <w:r w:rsidRPr="00241214">
        <w:rPr>
          <w:lang w:val="en-MY"/>
        </w:rPr>
        <w:t>Kaynarca</w:t>
      </w:r>
      <w:proofErr w:type="spellEnd"/>
      <w:r w:rsidRPr="00241214">
        <w:rPr>
          <w:lang w:val="en-MY"/>
        </w:rPr>
        <w:t xml:space="preserve"> D.</w:t>
      </w:r>
      <w:r w:rsidR="00FD52AB">
        <w:rPr>
          <w:lang w:val="en-MY"/>
        </w:rPr>
        <w:t>,</w:t>
      </w:r>
      <w:r w:rsidRPr="00241214">
        <w:rPr>
          <w:lang w:val="en-MY"/>
        </w:rPr>
        <w:t xml:space="preserve"> 2019</w:t>
      </w:r>
      <w:r w:rsidR="008D1615">
        <w:rPr>
          <w:lang w:val="en-MY"/>
        </w:rPr>
        <w:t>,</w:t>
      </w:r>
      <w:r w:rsidRPr="00241214">
        <w:rPr>
          <w:lang w:val="en-MY"/>
        </w:rPr>
        <w:t xml:space="preserve"> Effect of different fermentation conditions on composition of kefir microbiota</w:t>
      </w:r>
      <w:r w:rsidR="008D1615">
        <w:rPr>
          <w:lang w:val="en-MY"/>
        </w:rPr>
        <w:t>,</w:t>
      </w:r>
      <w:r w:rsidRPr="00241214">
        <w:rPr>
          <w:lang w:val="en-MY"/>
        </w:rPr>
        <w:t xml:space="preserve"> International Food Research Journal, 26, 401</w:t>
      </w:r>
      <w:r w:rsidR="001F69CD">
        <w:rPr>
          <w:lang w:val="en-MY"/>
        </w:rPr>
        <w:t>-</w:t>
      </w:r>
      <w:r w:rsidRPr="00241214">
        <w:rPr>
          <w:lang w:val="en-MY"/>
        </w:rPr>
        <w:t>409.</w:t>
      </w:r>
    </w:p>
    <w:p w14:paraId="0C12F3C1" w14:textId="6A110F18" w:rsidR="00746258" w:rsidRPr="00241214" w:rsidRDefault="00746258" w:rsidP="00241214">
      <w:pPr>
        <w:pStyle w:val="CETBodytext"/>
        <w:ind w:left="426" w:hanging="426"/>
        <w:rPr>
          <w:lang w:val="en-MY"/>
        </w:rPr>
      </w:pPr>
      <w:r w:rsidRPr="00241214">
        <w:rPr>
          <w:lang w:val="en-MY"/>
        </w:rPr>
        <w:t>Kumari V.B</w:t>
      </w:r>
      <w:r w:rsidR="00FD52AB">
        <w:rPr>
          <w:lang w:val="en-MY"/>
        </w:rPr>
        <w:t>.</w:t>
      </w:r>
      <w:r w:rsidRPr="00241214">
        <w:rPr>
          <w:lang w:val="en-MY"/>
        </w:rPr>
        <w:t xml:space="preserve">C., </w:t>
      </w:r>
      <w:proofErr w:type="spellStart"/>
      <w:r w:rsidRPr="00241214">
        <w:rPr>
          <w:lang w:val="en-MY"/>
        </w:rPr>
        <w:t>Huligere</w:t>
      </w:r>
      <w:proofErr w:type="spellEnd"/>
      <w:r w:rsidRPr="00241214">
        <w:rPr>
          <w:lang w:val="en-MY"/>
        </w:rPr>
        <w:t xml:space="preserve"> S.S., Alotaibi G., Al </w:t>
      </w:r>
      <w:proofErr w:type="spellStart"/>
      <w:r w:rsidRPr="00241214">
        <w:rPr>
          <w:lang w:val="en-MY"/>
        </w:rPr>
        <w:t>Mouslem</w:t>
      </w:r>
      <w:proofErr w:type="spellEnd"/>
      <w:r w:rsidRPr="00241214">
        <w:rPr>
          <w:lang w:val="en-MY"/>
        </w:rPr>
        <w:t xml:space="preserve"> A.K., Bahauddin A.A., </w:t>
      </w:r>
      <w:proofErr w:type="spellStart"/>
      <w:r w:rsidRPr="00241214">
        <w:rPr>
          <w:lang w:val="en-MY"/>
        </w:rPr>
        <w:t>Shivanandappa</w:t>
      </w:r>
      <w:proofErr w:type="spellEnd"/>
      <w:r w:rsidRPr="00241214">
        <w:rPr>
          <w:lang w:val="en-MY"/>
        </w:rPr>
        <w:t xml:space="preserve"> T.B., Ramu R.</w:t>
      </w:r>
      <w:r w:rsidR="00FD52AB">
        <w:rPr>
          <w:lang w:val="en-MY"/>
        </w:rPr>
        <w:t xml:space="preserve">, </w:t>
      </w:r>
      <w:r w:rsidRPr="00241214">
        <w:rPr>
          <w:lang w:val="en-MY"/>
        </w:rPr>
        <w:t>2023</w:t>
      </w:r>
      <w:r w:rsidR="008D1615">
        <w:rPr>
          <w:lang w:val="en-MY"/>
        </w:rPr>
        <w:t>,</w:t>
      </w:r>
      <w:r w:rsidRPr="00241214">
        <w:rPr>
          <w:lang w:val="en-MY"/>
        </w:rPr>
        <w:t xml:space="preserve"> Antidiabetic </w:t>
      </w:r>
      <w:r w:rsidR="00FD52AB" w:rsidRPr="00241214">
        <w:rPr>
          <w:lang w:val="en-MY"/>
        </w:rPr>
        <w:t xml:space="preserve">activity of potential probiotics </w:t>
      </w:r>
      <w:proofErr w:type="spellStart"/>
      <w:r w:rsidR="00FD52AB" w:rsidRPr="00FD52AB">
        <w:rPr>
          <w:i/>
          <w:iCs/>
          <w:lang w:val="en-MY"/>
        </w:rPr>
        <w:t>limosilactobacillus</w:t>
      </w:r>
      <w:proofErr w:type="spellEnd"/>
      <w:r w:rsidR="00FD52AB" w:rsidRPr="00FD52AB">
        <w:rPr>
          <w:i/>
          <w:iCs/>
          <w:lang w:val="en-MY"/>
        </w:rPr>
        <w:t xml:space="preserve"> spp</w:t>
      </w:r>
      <w:r w:rsidR="00FD52AB" w:rsidRPr="00241214">
        <w:rPr>
          <w:lang w:val="en-MY"/>
        </w:rPr>
        <w:t xml:space="preserve">., </w:t>
      </w:r>
      <w:proofErr w:type="spellStart"/>
      <w:r w:rsidR="00FD52AB" w:rsidRPr="00FD52AB">
        <w:rPr>
          <w:i/>
          <w:iCs/>
          <w:lang w:val="en-MY"/>
        </w:rPr>
        <w:t>levilactobacillus</w:t>
      </w:r>
      <w:proofErr w:type="spellEnd"/>
      <w:r w:rsidR="00FD52AB" w:rsidRPr="00FD52AB">
        <w:rPr>
          <w:i/>
          <w:iCs/>
          <w:lang w:val="en-MY"/>
        </w:rPr>
        <w:t xml:space="preserve"> spp.</w:t>
      </w:r>
      <w:r w:rsidR="00FD52AB" w:rsidRPr="00241214">
        <w:rPr>
          <w:lang w:val="en-MY"/>
        </w:rPr>
        <w:t xml:space="preserve">, and </w:t>
      </w:r>
      <w:proofErr w:type="spellStart"/>
      <w:r w:rsidR="00FD52AB" w:rsidRPr="00FD52AB">
        <w:rPr>
          <w:i/>
          <w:iCs/>
          <w:lang w:val="en-MY"/>
        </w:rPr>
        <w:t>lacticaseibacillus</w:t>
      </w:r>
      <w:proofErr w:type="spellEnd"/>
      <w:r w:rsidR="00FD52AB" w:rsidRPr="00FD52AB">
        <w:rPr>
          <w:i/>
          <w:iCs/>
          <w:lang w:val="en-MY"/>
        </w:rPr>
        <w:t xml:space="preserve"> spp</w:t>
      </w:r>
      <w:r w:rsidR="00FD52AB" w:rsidRPr="00241214">
        <w:rPr>
          <w:lang w:val="en-MY"/>
        </w:rPr>
        <w:t xml:space="preserve">. isolated from fermented sugarcane juice: </w:t>
      </w:r>
      <w:r w:rsidR="00FD52AB">
        <w:rPr>
          <w:lang w:val="en-MY"/>
        </w:rPr>
        <w:t>A</w:t>
      </w:r>
      <w:r w:rsidR="00FD52AB" w:rsidRPr="00241214">
        <w:rPr>
          <w:lang w:val="en-MY"/>
        </w:rPr>
        <w:t xml:space="preserve"> comprehensive </w:t>
      </w:r>
      <w:r w:rsidR="00FD52AB" w:rsidRPr="00FD52AB">
        <w:rPr>
          <w:lang w:val="en-MY"/>
        </w:rPr>
        <w:t>in vitro</w:t>
      </w:r>
      <w:r w:rsidR="00FD52AB" w:rsidRPr="00241214">
        <w:rPr>
          <w:lang w:val="en-MY"/>
        </w:rPr>
        <w:t xml:space="preserve"> and in silico study</w:t>
      </w:r>
      <w:r w:rsidR="008D1615">
        <w:rPr>
          <w:lang w:val="en-MY"/>
        </w:rPr>
        <w:t>,</w:t>
      </w:r>
      <w:r w:rsidRPr="00241214">
        <w:rPr>
          <w:lang w:val="en-MY"/>
        </w:rPr>
        <w:t xml:space="preserve"> Nutrients, 15</w:t>
      </w:r>
      <w:r w:rsidR="00FD52AB">
        <w:rPr>
          <w:lang w:val="en-MY"/>
        </w:rPr>
        <w:t>, 1882.</w:t>
      </w:r>
    </w:p>
    <w:p w14:paraId="4E1DDC19" w14:textId="1A3142A3" w:rsidR="00746258" w:rsidRPr="00241214" w:rsidRDefault="00746258" w:rsidP="00241214">
      <w:pPr>
        <w:pStyle w:val="CETBodytext"/>
        <w:ind w:left="426" w:hanging="426"/>
        <w:rPr>
          <w:lang w:val="en-MY"/>
        </w:rPr>
      </w:pPr>
      <w:r w:rsidRPr="00241214">
        <w:rPr>
          <w:lang w:val="en-MY"/>
        </w:rPr>
        <w:t>Leite A.M. de O., Miguel M</w:t>
      </w:r>
      <w:r w:rsidR="00FD52AB">
        <w:rPr>
          <w:lang w:val="en-MY"/>
        </w:rPr>
        <w:t>.</w:t>
      </w:r>
      <w:r w:rsidRPr="00241214">
        <w:rPr>
          <w:lang w:val="en-MY"/>
        </w:rPr>
        <w:t xml:space="preserve">A.L., Peixoto R.S., Rosado A.S., Silva J.T., </w:t>
      </w:r>
      <w:proofErr w:type="spellStart"/>
      <w:r w:rsidRPr="00241214">
        <w:rPr>
          <w:lang w:val="en-MY"/>
        </w:rPr>
        <w:t>Paschoalin</w:t>
      </w:r>
      <w:proofErr w:type="spellEnd"/>
      <w:r w:rsidRPr="00241214">
        <w:rPr>
          <w:lang w:val="en-MY"/>
        </w:rPr>
        <w:t xml:space="preserve"> V.M.F.</w:t>
      </w:r>
      <w:r w:rsidR="00FD52AB">
        <w:rPr>
          <w:lang w:val="en-MY"/>
        </w:rPr>
        <w:t>,</w:t>
      </w:r>
      <w:r w:rsidRPr="00241214">
        <w:rPr>
          <w:lang w:val="en-MY"/>
        </w:rPr>
        <w:t xml:space="preserve"> 2013</w:t>
      </w:r>
      <w:r w:rsidR="008D1615">
        <w:rPr>
          <w:lang w:val="en-MY"/>
        </w:rPr>
        <w:t>,</w:t>
      </w:r>
      <w:r w:rsidRPr="00241214">
        <w:rPr>
          <w:lang w:val="en-MY"/>
        </w:rPr>
        <w:t xml:space="preserve"> Microbiological, technological and therapeutic properties of kefir: </w:t>
      </w:r>
      <w:r w:rsidR="00FD52AB">
        <w:rPr>
          <w:lang w:val="en-MY"/>
        </w:rPr>
        <w:t>A</w:t>
      </w:r>
      <w:r w:rsidRPr="00241214">
        <w:rPr>
          <w:lang w:val="en-MY"/>
        </w:rPr>
        <w:t xml:space="preserve"> natural probiotic beverage</w:t>
      </w:r>
      <w:r w:rsidR="008D1615">
        <w:rPr>
          <w:lang w:val="en-MY"/>
        </w:rPr>
        <w:t>,</w:t>
      </w:r>
      <w:r w:rsidRPr="00241214">
        <w:rPr>
          <w:lang w:val="en-MY"/>
        </w:rPr>
        <w:t xml:space="preserve"> Brazilian Journal of Microbiology</w:t>
      </w:r>
      <w:r w:rsidR="00FD52AB">
        <w:rPr>
          <w:lang w:val="en-MY"/>
        </w:rPr>
        <w:t xml:space="preserve">, </w:t>
      </w:r>
      <w:r w:rsidRPr="00241214">
        <w:rPr>
          <w:lang w:val="en-MY"/>
        </w:rPr>
        <w:t>44, 341</w:t>
      </w:r>
      <w:r w:rsidR="001F69CD">
        <w:rPr>
          <w:lang w:val="en-MY"/>
        </w:rPr>
        <w:t>-</w:t>
      </w:r>
      <w:r w:rsidRPr="00241214">
        <w:rPr>
          <w:lang w:val="en-MY"/>
        </w:rPr>
        <w:t xml:space="preserve">349. </w:t>
      </w:r>
    </w:p>
    <w:p w14:paraId="6A9192A1" w14:textId="29152F98" w:rsidR="00746258" w:rsidRPr="00241214" w:rsidRDefault="00746258" w:rsidP="00241214">
      <w:pPr>
        <w:pStyle w:val="CETBodytext"/>
        <w:ind w:left="426" w:hanging="426"/>
        <w:rPr>
          <w:lang w:val="en-MY"/>
        </w:rPr>
      </w:pPr>
      <w:proofErr w:type="spellStart"/>
      <w:r w:rsidRPr="00241214">
        <w:rPr>
          <w:lang w:val="en-MY"/>
        </w:rPr>
        <w:t>Lengkey</w:t>
      </w:r>
      <w:proofErr w:type="spellEnd"/>
      <w:r w:rsidRPr="00241214">
        <w:rPr>
          <w:lang w:val="en-MY"/>
        </w:rPr>
        <w:t xml:space="preserve"> H.A.W., Balia R. L.</w:t>
      </w:r>
      <w:r w:rsidR="00FD52AB">
        <w:rPr>
          <w:lang w:val="en-MY"/>
        </w:rPr>
        <w:t>,</w:t>
      </w:r>
      <w:r w:rsidRPr="00241214">
        <w:rPr>
          <w:lang w:val="en-MY"/>
        </w:rPr>
        <w:t xml:space="preserve"> 2014</w:t>
      </w:r>
      <w:r w:rsidR="008D1615">
        <w:rPr>
          <w:lang w:val="en-MY"/>
        </w:rPr>
        <w:t>,</w:t>
      </w:r>
      <w:r w:rsidRPr="00241214">
        <w:rPr>
          <w:lang w:val="en-MY"/>
        </w:rPr>
        <w:t xml:space="preserve"> The effect of starter dosage and fermentation time on pH and lactic acid production</w:t>
      </w:r>
      <w:r w:rsidR="008D1615">
        <w:rPr>
          <w:lang w:val="en-MY"/>
        </w:rPr>
        <w:t>,</w:t>
      </w:r>
      <w:r w:rsidRPr="00241214">
        <w:rPr>
          <w:lang w:val="en-MY"/>
        </w:rPr>
        <w:t xml:space="preserve"> Biotechnology in Animal Husbandry, 30, 339</w:t>
      </w:r>
      <w:r w:rsidR="001F69CD">
        <w:rPr>
          <w:lang w:val="en-MY"/>
        </w:rPr>
        <w:t>-</w:t>
      </w:r>
      <w:r w:rsidRPr="00241214">
        <w:rPr>
          <w:lang w:val="en-MY"/>
        </w:rPr>
        <w:t xml:space="preserve">347. </w:t>
      </w:r>
    </w:p>
    <w:p w14:paraId="390577CF" w14:textId="77777777" w:rsidR="00EE7CD0" w:rsidRDefault="00746258" w:rsidP="00EE7CD0">
      <w:pPr>
        <w:widowControl w:val="0"/>
        <w:autoSpaceDE w:val="0"/>
        <w:autoSpaceDN w:val="0"/>
        <w:adjustRightInd w:val="0"/>
        <w:spacing w:line="240" w:lineRule="auto"/>
        <w:ind w:left="480" w:hanging="480"/>
        <w:rPr>
          <w:lang w:val="en-MY"/>
        </w:rPr>
      </w:pPr>
      <w:r w:rsidRPr="00241214">
        <w:rPr>
          <w:lang w:val="en-MY"/>
        </w:rPr>
        <w:t xml:space="preserve">Li Z., Zheng M., Zheng J., </w:t>
      </w:r>
      <w:proofErr w:type="spellStart"/>
      <w:r w:rsidRPr="00241214">
        <w:rPr>
          <w:lang w:val="en-MY"/>
        </w:rPr>
        <w:t>Gänzle</w:t>
      </w:r>
      <w:proofErr w:type="spellEnd"/>
      <w:r w:rsidRPr="00241214">
        <w:rPr>
          <w:lang w:val="en-MY"/>
        </w:rPr>
        <w:t xml:space="preserve"> M.G.</w:t>
      </w:r>
      <w:r w:rsidR="00FD52AB">
        <w:rPr>
          <w:lang w:val="en-MY"/>
        </w:rPr>
        <w:t>,</w:t>
      </w:r>
      <w:r w:rsidRPr="00241214">
        <w:rPr>
          <w:lang w:val="en-MY"/>
        </w:rPr>
        <w:t xml:space="preserve"> 2023</w:t>
      </w:r>
      <w:r w:rsidR="008D1615">
        <w:rPr>
          <w:lang w:val="en-MY"/>
        </w:rPr>
        <w:t>,</w:t>
      </w:r>
      <w:r w:rsidRPr="00241214">
        <w:rPr>
          <w:lang w:val="en-MY"/>
        </w:rPr>
        <w:t xml:space="preserve"> Bacillus species in food fermentations: </w:t>
      </w:r>
      <w:r w:rsidR="00FD52AB">
        <w:rPr>
          <w:lang w:val="en-MY"/>
        </w:rPr>
        <w:t>A</w:t>
      </w:r>
      <w:r w:rsidRPr="00241214">
        <w:rPr>
          <w:lang w:val="en-MY"/>
        </w:rPr>
        <w:t>n underappreciated group of organisms for safe use in food fermentations</w:t>
      </w:r>
      <w:r w:rsidR="008D1615">
        <w:rPr>
          <w:lang w:val="en-MY"/>
        </w:rPr>
        <w:t>,</w:t>
      </w:r>
      <w:r w:rsidRPr="00241214">
        <w:rPr>
          <w:lang w:val="en-MY"/>
        </w:rPr>
        <w:t xml:space="preserve"> Current Opinion in Food Science, 50, 101007.</w:t>
      </w:r>
    </w:p>
    <w:p w14:paraId="6E43B8DC" w14:textId="58F35C97" w:rsidR="00FB0F8D" w:rsidRPr="00FB0F8D" w:rsidRDefault="00EE7CD0" w:rsidP="00FB0F8D">
      <w:pPr>
        <w:widowControl w:val="0"/>
        <w:autoSpaceDE w:val="0"/>
        <w:autoSpaceDN w:val="0"/>
        <w:adjustRightInd w:val="0"/>
        <w:spacing w:line="240" w:lineRule="auto"/>
        <w:ind w:left="480" w:hanging="480"/>
        <w:rPr>
          <w:rFonts w:cs="Arial"/>
          <w:noProof/>
        </w:rPr>
      </w:pPr>
      <w:r>
        <w:rPr>
          <w:lang w:val="en-MY"/>
        </w:rPr>
        <w:fldChar w:fldCharType="begin" w:fldLock="1"/>
      </w:r>
      <w:r>
        <w:rPr>
          <w:lang w:val="en-MY"/>
        </w:rPr>
        <w:instrText xml:space="preserve">ADDIN Mendeley Bibliography CSL_BIBLIOGRAPHY </w:instrText>
      </w:r>
      <w:r>
        <w:rPr>
          <w:lang w:val="en-MY"/>
        </w:rPr>
        <w:fldChar w:fldCharType="separate"/>
      </w:r>
      <w:r w:rsidR="00FB0F8D" w:rsidRPr="001F69CD">
        <w:rPr>
          <w:rFonts w:cs="Arial"/>
          <w:noProof/>
          <w:szCs w:val="24"/>
        </w:rPr>
        <w:t>Mani V.</w:t>
      </w:r>
      <w:r w:rsidR="008517D2" w:rsidRPr="001F69CD">
        <w:rPr>
          <w:rFonts w:cs="Arial"/>
          <w:noProof/>
          <w:szCs w:val="24"/>
        </w:rPr>
        <w:t>,</w:t>
      </w:r>
      <w:r w:rsidR="00FB0F8D" w:rsidRPr="001F69CD">
        <w:rPr>
          <w:rFonts w:cs="Arial"/>
          <w:noProof/>
          <w:szCs w:val="24"/>
        </w:rPr>
        <w:t xml:space="preserve"> Ming, L.C.</w:t>
      </w:r>
      <w:r w:rsidR="008517D2" w:rsidRPr="001F69CD">
        <w:rPr>
          <w:rFonts w:cs="Arial"/>
          <w:noProof/>
          <w:szCs w:val="24"/>
        </w:rPr>
        <w:t>,</w:t>
      </w:r>
      <w:r w:rsidR="00FB0F8D" w:rsidRPr="001F69CD">
        <w:rPr>
          <w:rFonts w:cs="Arial"/>
          <w:noProof/>
          <w:szCs w:val="24"/>
        </w:rPr>
        <w:t xml:space="preserve"> 201</w:t>
      </w:r>
      <w:r w:rsidR="00E87555">
        <w:rPr>
          <w:rFonts w:cs="Arial"/>
          <w:noProof/>
          <w:szCs w:val="24"/>
        </w:rPr>
        <w:t>7</w:t>
      </w:r>
      <w:r w:rsidR="008517D2" w:rsidRPr="001F69CD">
        <w:rPr>
          <w:rFonts w:cs="Arial"/>
          <w:noProof/>
          <w:szCs w:val="24"/>
        </w:rPr>
        <w:t>,</w:t>
      </w:r>
      <w:r w:rsidR="00FB0F8D" w:rsidRPr="001F69CD">
        <w:rPr>
          <w:rFonts w:cs="Arial"/>
          <w:noProof/>
          <w:szCs w:val="24"/>
        </w:rPr>
        <w:t xml:space="preserve"> Tempeh and Other Fermented Soybean Products Rich in Isoflavones</w:t>
      </w:r>
      <w:r w:rsidR="008D4660" w:rsidRPr="001F69CD">
        <w:rPr>
          <w:rFonts w:cs="Arial"/>
          <w:noProof/>
          <w:szCs w:val="24"/>
        </w:rPr>
        <w:t>,</w:t>
      </w:r>
      <w:r w:rsidR="001F69CD">
        <w:rPr>
          <w:rFonts w:cs="Arial"/>
          <w:noProof/>
          <w:szCs w:val="24"/>
        </w:rPr>
        <w:t xml:space="preserve"> Chapter in: </w:t>
      </w:r>
      <w:r w:rsidR="001F69CD" w:rsidRPr="001F69CD">
        <w:rPr>
          <w:rFonts w:cs="Arial"/>
          <w:noProof/>
          <w:szCs w:val="24"/>
        </w:rPr>
        <w:t>J</w:t>
      </w:r>
      <w:r w:rsidR="001F69CD">
        <w:rPr>
          <w:rFonts w:cs="Arial"/>
          <w:noProof/>
          <w:szCs w:val="24"/>
        </w:rPr>
        <w:t xml:space="preserve"> </w:t>
      </w:r>
      <w:r w:rsidR="001F69CD" w:rsidRPr="001F69CD">
        <w:rPr>
          <w:rFonts w:cs="Arial"/>
          <w:noProof/>
          <w:szCs w:val="24"/>
        </w:rPr>
        <w:t>Frias, C Martinez-Villaluenga, E Peñas</w:t>
      </w:r>
      <w:r w:rsidR="001F69CD">
        <w:rPr>
          <w:rFonts w:cs="Arial"/>
          <w:noProof/>
          <w:szCs w:val="24"/>
        </w:rPr>
        <w:t xml:space="preserve"> (Eds.)</w:t>
      </w:r>
      <w:r w:rsidR="001F69CD" w:rsidRPr="001F69CD">
        <w:rPr>
          <w:rFonts w:cs="Arial"/>
          <w:noProof/>
          <w:szCs w:val="24"/>
        </w:rPr>
        <w:t>,</w:t>
      </w:r>
      <w:r w:rsidR="001F69CD">
        <w:rPr>
          <w:rFonts w:cs="Arial"/>
          <w:noProof/>
          <w:szCs w:val="24"/>
        </w:rPr>
        <w:t xml:space="preserve"> </w:t>
      </w:r>
      <w:r w:rsidR="00FB0F8D" w:rsidRPr="001F69CD">
        <w:rPr>
          <w:rFonts w:cs="Arial"/>
          <w:noProof/>
          <w:szCs w:val="24"/>
        </w:rPr>
        <w:t xml:space="preserve">Fermented </w:t>
      </w:r>
      <w:r w:rsidR="009E2D63">
        <w:rPr>
          <w:rFonts w:cs="Arial"/>
          <w:noProof/>
          <w:szCs w:val="24"/>
        </w:rPr>
        <w:t>f</w:t>
      </w:r>
      <w:r w:rsidR="00FB0F8D" w:rsidRPr="001F69CD">
        <w:rPr>
          <w:rFonts w:cs="Arial"/>
          <w:noProof/>
          <w:szCs w:val="24"/>
        </w:rPr>
        <w:t xml:space="preserve">oods in </w:t>
      </w:r>
      <w:r w:rsidR="009E2D63">
        <w:rPr>
          <w:rFonts w:cs="Arial"/>
          <w:noProof/>
          <w:szCs w:val="24"/>
        </w:rPr>
        <w:t>h</w:t>
      </w:r>
      <w:r w:rsidR="00FB0F8D" w:rsidRPr="001F69CD">
        <w:rPr>
          <w:rFonts w:cs="Arial"/>
          <w:noProof/>
          <w:szCs w:val="24"/>
        </w:rPr>
        <w:t xml:space="preserve">ealth and </w:t>
      </w:r>
      <w:r w:rsidR="009E2D63">
        <w:rPr>
          <w:rFonts w:cs="Arial"/>
          <w:noProof/>
          <w:szCs w:val="24"/>
        </w:rPr>
        <w:t>d</w:t>
      </w:r>
      <w:r w:rsidR="00FB0F8D" w:rsidRPr="001F69CD">
        <w:rPr>
          <w:rFonts w:cs="Arial"/>
          <w:noProof/>
          <w:szCs w:val="24"/>
        </w:rPr>
        <w:t xml:space="preserve">isease </w:t>
      </w:r>
      <w:r w:rsidR="009E2D63">
        <w:rPr>
          <w:rFonts w:cs="Arial"/>
          <w:noProof/>
          <w:szCs w:val="24"/>
        </w:rPr>
        <w:t>p</w:t>
      </w:r>
      <w:r w:rsidR="00FB0F8D" w:rsidRPr="001F69CD">
        <w:rPr>
          <w:rFonts w:cs="Arial"/>
          <w:noProof/>
          <w:szCs w:val="24"/>
        </w:rPr>
        <w:t xml:space="preserve">revention, </w:t>
      </w:r>
      <w:r w:rsidR="001F69CD">
        <w:rPr>
          <w:rFonts w:cs="Arial"/>
          <w:noProof/>
          <w:szCs w:val="24"/>
        </w:rPr>
        <w:t>Academic Press,</w:t>
      </w:r>
      <w:r w:rsidR="001C3967">
        <w:rPr>
          <w:rFonts w:cs="Arial"/>
          <w:noProof/>
          <w:szCs w:val="24"/>
        </w:rPr>
        <w:t xml:space="preserve"> </w:t>
      </w:r>
      <w:r w:rsidR="00C87AE8" w:rsidRPr="00C87AE8">
        <w:rPr>
          <w:rFonts w:cs="Arial"/>
          <w:noProof/>
          <w:szCs w:val="24"/>
        </w:rPr>
        <w:t>453</w:t>
      </w:r>
      <w:r w:rsidR="001F69CD">
        <w:rPr>
          <w:lang w:val="en-MY"/>
        </w:rPr>
        <w:t>-</w:t>
      </w:r>
      <w:r w:rsidR="00C87AE8" w:rsidRPr="00C87AE8">
        <w:rPr>
          <w:rFonts w:cs="Arial"/>
          <w:noProof/>
          <w:szCs w:val="24"/>
        </w:rPr>
        <w:t>474</w:t>
      </w:r>
      <w:r w:rsidR="00C87AE8">
        <w:rPr>
          <w:rFonts w:cs="Arial"/>
          <w:noProof/>
          <w:szCs w:val="24"/>
        </w:rPr>
        <w:t>.</w:t>
      </w:r>
      <w:r w:rsidR="001F69CD">
        <w:rPr>
          <w:rFonts w:cs="Arial"/>
          <w:noProof/>
          <w:szCs w:val="24"/>
        </w:rPr>
        <w:t xml:space="preserve"> </w:t>
      </w:r>
    </w:p>
    <w:p w14:paraId="6933275E" w14:textId="61BAEAEB" w:rsidR="00746258" w:rsidRPr="00241214" w:rsidRDefault="00EE7CD0" w:rsidP="006D7459">
      <w:pPr>
        <w:pStyle w:val="CETBodytext"/>
        <w:ind w:left="450" w:hanging="450"/>
        <w:rPr>
          <w:lang w:val="en-MY"/>
        </w:rPr>
      </w:pPr>
      <w:r>
        <w:rPr>
          <w:lang w:val="en-MY"/>
        </w:rPr>
        <w:fldChar w:fldCharType="end"/>
      </w:r>
      <w:proofErr w:type="spellStart"/>
      <w:r w:rsidR="00746258" w:rsidRPr="00241214">
        <w:rPr>
          <w:lang w:val="en-MY"/>
        </w:rPr>
        <w:t>Muzdalifah</w:t>
      </w:r>
      <w:proofErr w:type="spellEnd"/>
      <w:r w:rsidR="00746258" w:rsidRPr="00241214">
        <w:rPr>
          <w:lang w:val="en-MY"/>
        </w:rPr>
        <w:t xml:space="preserve"> D., </w:t>
      </w:r>
      <w:proofErr w:type="spellStart"/>
      <w:r w:rsidR="00746258" w:rsidRPr="00241214">
        <w:rPr>
          <w:lang w:val="en-MY"/>
        </w:rPr>
        <w:t>Athaillah</w:t>
      </w:r>
      <w:proofErr w:type="spellEnd"/>
      <w:r w:rsidR="00746258" w:rsidRPr="00241214">
        <w:rPr>
          <w:lang w:val="en-MY"/>
        </w:rPr>
        <w:t xml:space="preserve"> Z.A., </w:t>
      </w:r>
      <w:proofErr w:type="spellStart"/>
      <w:r w:rsidR="00746258" w:rsidRPr="00241214">
        <w:rPr>
          <w:lang w:val="en-MY"/>
        </w:rPr>
        <w:t>Nugrahani</w:t>
      </w:r>
      <w:proofErr w:type="spellEnd"/>
      <w:r w:rsidR="00746258" w:rsidRPr="00241214">
        <w:rPr>
          <w:lang w:val="en-MY"/>
        </w:rPr>
        <w:t xml:space="preserve"> W., Devi, A.F.</w:t>
      </w:r>
      <w:r w:rsidR="00FD52AB">
        <w:rPr>
          <w:lang w:val="en-MY"/>
        </w:rPr>
        <w:t>,</w:t>
      </w:r>
      <w:r w:rsidR="00746258" w:rsidRPr="00241214">
        <w:rPr>
          <w:lang w:val="en-MY"/>
        </w:rPr>
        <w:t xml:space="preserve"> 2017</w:t>
      </w:r>
      <w:r w:rsidR="008517D2">
        <w:rPr>
          <w:lang w:val="en-MY"/>
        </w:rPr>
        <w:t>,</w:t>
      </w:r>
      <w:r w:rsidR="00746258" w:rsidRPr="00241214">
        <w:rPr>
          <w:lang w:val="en-MY"/>
        </w:rPr>
        <w:t xml:space="preserve"> Colour and pH changes of </w:t>
      </w:r>
      <w:r w:rsidR="00746258" w:rsidRPr="00FD52AB">
        <w:rPr>
          <w:i/>
          <w:iCs/>
          <w:lang w:val="en-MY"/>
        </w:rPr>
        <w:t>tempe</w:t>
      </w:r>
      <w:r w:rsidR="00484105" w:rsidRPr="00FD52AB">
        <w:rPr>
          <w:i/>
          <w:iCs/>
          <w:lang w:val="en-MY"/>
        </w:rPr>
        <w:t>h</w:t>
      </w:r>
      <w:r w:rsidR="00746258" w:rsidRPr="00241214">
        <w:rPr>
          <w:lang w:val="en-MY"/>
        </w:rPr>
        <w:t xml:space="preserve"> during extended fermentation. AIP Conference Proceedings, 1803</w:t>
      </w:r>
      <w:r w:rsidR="0002261C">
        <w:rPr>
          <w:lang w:val="en-MY"/>
        </w:rPr>
        <w:t xml:space="preserve">, </w:t>
      </w:r>
      <w:r w:rsidR="0002261C" w:rsidRPr="0002261C">
        <w:rPr>
          <w:lang w:val="en-GB"/>
        </w:rPr>
        <w:t>020036</w:t>
      </w:r>
      <w:r w:rsidR="00746258" w:rsidRPr="00241214">
        <w:rPr>
          <w:lang w:val="en-MY"/>
        </w:rPr>
        <w:t xml:space="preserve">. </w:t>
      </w:r>
    </w:p>
    <w:p w14:paraId="6A7A1F8E" w14:textId="02909831" w:rsidR="00746258" w:rsidRPr="00241214" w:rsidRDefault="00746258" w:rsidP="00241214">
      <w:pPr>
        <w:pStyle w:val="CETBodytext"/>
        <w:ind w:left="426" w:hanging="426"/>
        <w:rPr>
          <w:lang w:val="en-MY"/>
        </w:rPr>
      </w:pPr>
      <w:r w:rsidRPr="00241214">
        <w:rPr>
          <w:lang w:val="en-MY"/>
        </w:rPr>
        <w:t xml:space="preserve">Putri Y.D., </w:t>
      </w:r>
      <w:proofErr w:type="spellStart"/>
      <w:r w:rsidRPr="00241214">
        <w:rPr>
          <w:lang w:val="en-MY"/>
        </w:rPr>
        <w:t>Setiani</w:t>
      </w:r>
      <w:proofErr w:type="spellEnd"/>
      <w:r w:rsidRPr="00241214">
        <w:rPr>
          <w:lang w:val="en-MY"/>
        </w:rPr>
        <w:t xml:space="preserve"> N.A., </w:t>
      </w:r>
      <w:proofErr w:type="spellStart"/>
      <w:r w:rsidRPr="00241214">
        <w:rPr>
          <w:lang w:val="en-MY"/>
        </w:rPr>
        <w:t>Warya</w:t>
      </w:r>
      <w:proofErr w:type="spellEnd"/>
      <w:r w:rsidRPr="00241214">
        <w:rPr>
          <w:lang w:val="en-MY"/>
        </w:rPr>
        <w:t xml:space="preserve"> S.</w:t>
      </w:r>
      <w:r w:rsidR="00FD52AB">
        <w:rPr>
          <w:lang w:val="en-MY"/>
        </w:rPr>
        <w:t>,</w:t>
      </w:r>
      <w:r w:rsidRPr="00241214">
        <w:rPr>
          <w:lang w:val="en-MY"/>
        </w:rPr>
        <w:t xml:space="preserve"> 2020</w:t>
      </w:r>
      <w:r w:rsidR="008D1615">
        <w:rPr>
          <w:lang w:val="en-MY"/>
        </w:rPr>
        <w:t>,</w:t>
      </w:r>
      <w:r w:rsidRPr="00241214">
        <w:rPr>
          <w:lang w:val="en-MY"/>
        </w:rPr>
        <w:t xml:space="preserve"> The </w:t>
      </w:r>
      <w:r w:rsidR="00FD52AB" w:rsidRPr="00241214">
        <w:rPr>
          <w:lang w:val="en-MY"/>
        </w:rPr>
        <w:t>effect of temperature, incubation and storage time on lactic acid content, p</w:t>
      </w:r>
      <w:r w:rsidR="00324184">
        <w:rPr>
          <w:lang w:val="en-MY"/>
        </w:rPr>
        <w:t>H</w:t>
      </w:r>
      <w:r w:rsidR="00FD52AB" w:rsidRPr="00241214">
        <w:rPr>
          <w:lang w:val="en-MY"/>
        </w:rPr>
        <w:t>, and viscosity of goat milk kefir</w:t>
      </w:r>
      <w:r w:rsidR="008D1615">
        <w:rPr>
          <w:lang w:val="en-MY"/>
        </w:rPr>
        <w:t>,</w:t>
      </w:r>
      <w:r w:rsidR="00FD52AB" w:rsidRPr="00241214">
        <w:rPr>
          <w:lang w:val="en-MY"/>
        </w:rPr>
        <w:t xml:space="preserve"> </w:t>
      </w:r>
      <w:r w:rsidRPr="00241214">
        <w:rPr>
          <w:lang w:val="en-MY"/>
        </w:rPr>
        <w:t>Current Research on Biosciences and Biotechnology, 2, 101</w:t>
      </w:r>
      <w:r w:rsidR="001F69CD">
        <w:rPr>
          <w:lang w:val="en-MY"/>
        </w:rPr>
        <w:t>-</w:t>
      </w:r>
      <w:r w:rsidRPr="00241214">
        <w:rPr>
          <w:lang w:val="en-MY"/>
        </w:rPr>
        <w:t xml:space="preserve">104. </w:t>
      </w:r>
    </w:p>
    <w:p w14:paraId="702AC1D9" w14:textId="16874F0E" w:rsidR="00746258" w:rsidRPr="00241214" w:rsidRDefault="00746258" w:rsidP="00241214">
      <w:pPr>
        <w:pStyle w:val="CETBodytext"/>
        <w:ind w:left="426" w:hanging="426"/>
        <w:rPr>
          <w:lang w:val="en-MY"/>
        </w:rPr>
      </w:pPr>
      <w:r w:rsidRPr="00241214">
        <w:rPr>
          <w:lang w:val="en-MY"/>
        </w:rPr>
        <w:t xml:space="preserve">Rizal S., </w:t>
      </w:r>
      <w:proofErr w:type="spellStart"/>
      <w:r w:rsidRPr="00241214">
        <w:rPr>
          <w:lang w:val="en-MY"/>
        </w:rPr>
        <w:t>Kustyawati</w:t>
      </w:r>
      <w:proofErr w:type="spellEnd"/>
      <w:r w:rsidRPr="00241214">
        <w:rPr>
          <w:lang w:val="en-MY"/>
        </w:rPr>
        <w:t xml:space="preserve"> M.E., </w:t>
      </w:r>
      <w:proofErr w:type="spellStart"/>
      <w:r w:rsidRPr="00241214">
        <w:rPr>
          <w:lang w:val="en-MY"/>
        </w:rPr>
        <w:t>Suharyono</w:t>
      </w:r>
      <w:proofErr w:type="spellEnd"/>
      <w:r w:rsidRPr="00241214">
        <w:rPr>
          <w:lang w:val="en-MY"/>
        </w:rPr>
        <w:t xml:space="preserve"> Putri T.S.K., </w:t>
      </w:r>
      <w:proofErr w:type="spellStart"/>
      <w:r w:rsidRPr="00241214">
        <w:rPr>
          <w:lang w:val="en-MY"/>
        </w:rPr>
        <w:t>Endaryanto</w:t>
      </w:r>
      <w:proofErr w:type="spellEnd"/>
      <w:r w:rsidRPr="00241214">
        <w:rPr>
          <w:lang w:val="en-MY"/>
        </w:rPr>
        <w:t xml:space="preserve"> T.</w:t>
      </w:r>
      <w:r w:rsidR="00FD52AB">
        <w:rPr>
          <w:lang w:val="en-MY"/>
        </w:rPr>
        <w:t>,</w:t>
      </w:r>
      <w:r w:rsidRPr="00241214">
        <w:rPr>
          <w:lang w:val="en-MY"/>
        </w:rPr>
        <w:t xml:space="preserve"> 2023</w:t>
      </w:r>
      <w:r w:rsidR="008D1615">
        <w:rPr>
          <w:lang w:val="en-MY"/>
        </w:rPr>
        <w:t>,</w:t>
      </w:r>
      <w:r w:rsidRPr="00241214">
        <w:rPr>
          <w:lang w:val="en-MY"/>
        </w:rPr>
        <w:t xml:space="preserve"> Effect of substrate type and incubation time on the microbial viability of instant starter for premium </w:t>
      </w:r>
      <w:r w:rsidRPr="00324184">
        <w:rPr>
          <w:i/>
          <w:iCs/>
          <w:lang w:val="en-MY"/>
        </w:rPr>
        <w:t>tempeh</w:t>
      </w:r>
      <w:r w:rsidR="008D1615">
        <w:rPr>
          <w:lang w:val="en-MY"/>
        </w:rPr>
        <w:t>,</w:t>
      </w:r>
      <w:r w:rsidRPr="00241214">
        <w:rPr>
          <w:lang w:val="en-MY"/>
        </w:rPr>
        <w:t xml:space="preserve"> AIMS Agriculture and Food, 8, 461</w:t>
      </w:r>
      <w:r w:rsidR="001F69CD">
        <w:rPr>
          <w:lang w:val="en-MY"/>
        </w:rPr>
        <w:t>-</w:t>
      </w:r>
      <w:r w:rsidRPr="00241214">
        <w:rPr>
          <w:lang w:val="en-MY"/>
        </w:rPr>
        <w:t xml:space="preserve">478. </w:t>
      </w:r>
    </w:p>
    <w:p w14:paraId="335B86E9" w14:textId="2C96019B" w:rsidR="00746258" w:rsidRPr="00241214" w:rsidRDefault="00746258" w:rsidP="00241214">
      <w:pPr>
        <w:pStyle w:val="CETBodytext"/>
        <w:ind w:left="426" w:hanging="426"/>
        <w:rPr>
          <w:lang w:val="en-MY"/>
        </w:rPr>
      </w:pPr>
      <w:r w:rsidRPr="00241214">
        <w:rPr>
          <w:lang w:val="en-MY"/>
        </w:rPr>
        <w:t>Rodrigues K</w:t>
      </w:r>
      <w:r w:rsidR="00FD52AB">
        <w:rPr>
          <w:lang w:val="en-MY"/>
        </w:rPr>
        <w:t>.</w:t>
      </w:r>
      <w:r w:rsidRPr="00241214">
        <w:rPr>
          <w:lang w:val="en-MY"/>
        </w:rPr>
        <w:t xml:space="preserve">L., Araújo T.H., </w:t>
      </w:r>
      <w:proofErr w:type="spellStart"/>
      <w:r w:rsidRPr="00241214">
        <w:rPr>
          <w:lang w:val="en-MY"/>
        </w:rPr>
        <w:t>Schneedorf</w:t>
      </w:r>
      <w:proofErr w:type="spellEnd"/>
      <w:r w:rsidRPr="00241214">
        <w:rPr>
          <w:lang w:val="en-MY"/>
        </w:rPr>
        <w:t xml:space="preserve"> J.M., Ferreira C.de</w:t>
      </w:r>
      <w:r w:rsidR="00324184">
        <w:rPr>
          <w:lang w:val="en-MY"/>
        </w:rPr>
        <w:t xml:space="preserve"> </w:t>
      </w:r>
      <w:r w:rsidRPr="00241214">
        <w:rPr>
          <w:lang w:val="en-MY"/>
        </w:rPr>
        <w:t>S., Moraes G. de O.I., Coimbra R.S., Rodrigues M.R.</w:t>
      </w:r>
      <w:r w:rsidR="00FD52AB">
        <w:rPr>
          <w:lang w:val="en-MY"/>
        </w:rPr>
        <w:t xml:space="preserve">, </w:t>
      </w:r>
      <w:r w:rsidRPr="00241214">
        <w:rPr>
          <w:lang w:val="en-MY"/>
        </w:rPr>
        <w:t>2016</w:t>
      </w:r>
      <w:r w:rsidR="008D1615">
        <w:rPr>
          <w:lang w:val="en-MY"/>
        </w:rPr>
        <w:t>,</w:t>
      </w:r>
      <w:r w:rsidRPr="00241214">
        <w:rPr>
          <w:lang w:val="en-MY"/>
        </w:rPr>
        <w:t xml:space="preserve"> A novel beer fermented by kefir enhances anti-inflammatory and anti-ulcerogenic activities found isolated in its constituents</w:t>
      </w:r>
      <w:r w:rsidR="008D1615">
        <w:rPr>
          <w:lang w:val="en-MY"/>
        </w:rPr>
        <w:t>,</w:t>
      </w:r>
      <w:r w:rsidRPr="00241214">
        <w:rPr>
          <w:lang w:val="en-MY"/>
        </w:rPr>
        <w:t xml:space="preserve"> Journal of Functional Foods, 21, 58</w:t>
      </w:r>
      <w:r w:rsidR="001F69CD">
        <w:rPr>
          <w:lang w:val="en-MY"/>
        </w:rPr>
        <w:t>-</w:t>
      </w:r>
      <w:r w:rsidRPr="00241214">
        <w:rPr>
          <w:lang w:val="en-MY"/>
        </w:rPr>
        <w:t xml:space="preserve">69. </w:t>
      </w:r>
    </w:p>
    <w:p w14:paraId="595373D5" w14:textId="5EC15308" w:rsidR="00746258" w:rsidRPr="00241214" w:rsidRDefault="00746258" w:rsidP="00241214">
      <w:pPr>
        <w:pStyle w:val="CETBodytext"/>
        <w:ind w:left="426" w:hanging="426"/>
        <w:rPr>
          <w:lang w:val="en-MY"/>
        </w:rPr>
      </w:pPr>
      <w:r w:rsidRPr="00241214">
        <w:rPr>
          <w:lang w:val="en-MY"/>
        </w:rPr>
        <w:t>Roy S., Chowdhury G., Mukhopadhyay A.K., Dutta S., Basu, S.</w:t>
      </w:r>
      <w:r w:rsidR="00324184">
        <w:rPr>
          <w:lang w:val="en-MY"/>
        </w:rPr>
        <w:t xml:space="preserve">, </w:t>
      </w:r>
      <w:r w:rsidRPr="00241214">
        <w:rPr>
          <w:lang w:val="en-MY"/>
        </w:rPr>
        <w:t>2022</w:t>
      </w:r>
      <w:r w:rsidR="008D1615">
        <w:rPr>
          <w:lang w:val="en-MY"/>
        </w:rPr>
        <w:t>,</w:t>
      </w:r>
      <w:r w:rsidRPr="00241214">
        <w:rPr>
          <w:lang w:val="en-MY"/>
        </w:rPr>
        <w:t xml:space="preserve"> Convergence </w:t>
      </w:r>
      <w:r w:rsidR="00324184" w:rsidRPr="00241214">
        <w:rPr>
          <w:lang w:val="en-MY"/>
        </w:rPr>
        <w:t xml:space="preserve">of biofilm formation and antibiotic resistance in </w:t>
      </w:r>
      <w:proofErr w:type="spellStart"/>
      <w:r w:rsidR="00324184" w:rsidRPr="00324184">
        <w:rPr>
          <w:i/>
          <w:iCs/>
          <w:lang w:val="en-MY"/>
        </w:rPr>
        <w:t>acinetobacter</w:t>
      </w:r>
      <w:proofErr w:type="spellEnd"/>
      <w:r w:rsidR="00324184" w:rsidRPr="00324184">
        <w:rPr>
          <w:i/>
          <w:iCs/>
          <w:lang w:val="en-MY"/>
        </w:rPr>
        <w:t xml:space="preserve"> baumannii</w:t>
      </w:r>
      <w:r w:rsidR="00324184" w:rsidRPr="00241214">
        <w:rPr>
          <w:lang w:val="en-MY"/>
        </w:rPr>
        <w:t xml:space="preserve"> infection</w:t>
      </w:r>
      <w:r w:rsidR="008D1615">
        <w:rPr>
          <w:lang w:val="en-MY"/>
        </w:rPr>
        <w:t>,</w:t>
      </w:r>
      <w:r w:rsidRPr="00241214">
        <w:rPr>
          <w:lang w:val="en-MY"/>
        </w:rPr>
        <w:t xml:space="preserve"> Frontiers in Medicine, 9</w:t>
      </w:r>
      <w:r w:rsidR="00324184">
        <w:rPr>
          <w:lang w:val="en-MY"/>
        </w:rPr>
        <w:t>, 793615.</w:t>
      </w:r>
    </w:p>
    <w:p w14:paraId="2B566E44" w14:textId="02882960" w:rsidR="00746258" w:rsidRPr="00241214" w:rsidRDefault="00746258" w:rsidP="00241214">
      <w:pPr>
        <w:pStyle w:val="CETBodytext"/>
        <w:ind w:left="426" w:hanging="426"/>
        <w:rPr>
          <w:lang w:val="en-MY"/>
        </w:rPr>
      </w:pPr>
      <w:proofErr w:type="spellStart"/>
      <w:r w:rsidRPr="00241214">
        <w:rPr>
          <w:lang w:val="en-MY"/>
        </w:rPr>
        <w:t>Setyawardani</w:t>
      </w:r>
      <w:proofErr w:type="spellEnd"/>
      <w:r w:rsidRPr="00241214">
        <w:rPr>
          <w:lang w:val="en-MY"/>
        </w:rPr>
        <w:t xml:space="preserve"> T., </w:t>
      </w:r>
      <w:proofErr w:type="spellStart"/>
      <w:r w:rsidRPr="00241214">
        <w:rPr>
          <w:lang w:val="en-MY"/>
        </w:rPr>
        <w:t>Sumarmono</w:t>
      </w:r>
      <w:proofErr w:type="spellEnd"/>
      <w:r w:rsidRPr="00241214">
        <w:rPr>
          <w:lang w:val="en-MY"/>
        </w:rPr>
        <w:t xml:space="preserve"> J., Rahardjo A.H.D., </w:t>
      </w:r>
      <w:proofErr w:type="spellStart"/>
      <w:r w:rsidRPr="00241214">
        <w:rPr>
          <w:lang w:val="en-MY"/>
        </w:rPr>
        <w:t>Widayaka</w:t>
      </w:r>
      <w:proofErr w:type="spellEnd"/>
      <w:r w:rsidRPr="00241214">
        <w:rPr>
          <w:lang w:val="en-MY"/>
        </w:rPr>
        <w:t xml:space="preserve"> K., Santosa, R.S.S.</w:t>
      </w:r>
      <w:r w:rsidR="00324184">
        <w:rPr>
          <w:lang w:val="en-MY"/>
        </w:rPr>
        <w:t xml:space="preserve">, </w:t>
      </w:r>
      <w:r w:rsidRPr="00241214">
        <w:rPr>
          <w:lang w:val="en-MY"/>
        </w:rPr>
        <w:t>2019</w:t>
      </w:r>
      <w:r w:rsidR="008D1615">
        <w:rPr>
          <w:lang w:val="en-MY"/>
        </w:rPr>
        <w:t>,</w:t>
      </w:r>
      <w:r w:rsidRPr="00241214">
        <w:rPr>
          <w:lang w:val="en-MY"/>
        </w:rPr>
        <w:t xml:space="preserve"> Texture </w:t>
      </w:r>
      <w:r w:rsidR="00324184" w:rsidRPr="00241214">
        <w:rPr>
          <w:lang w:val="en-MY"/>
        </w:rPr>
        <w:t>profile and sensory characteristics of kefir with colostrum addition</w:t>
      </w:r>
      <w:r w:rsidR="008D1615">
        <w:rPr>
          <w:lang w:val="en-MY"/>
        </w:rPr>
        <w:t>,</w:t>
      </w:r>
      <w:r w:rsidRPr="00241214">
        <w:rPr>
          <w:lang w:val="en-MY"/>
        </w:rPr>
        <w:t xml:space="preserve"> IOP Conference Series: Earth and Environmental Science, 372</w:t>
      </w:r>
      <w:r w:rsidR="00324184">
        <w:rPr>
          <w:lang w:val="en-MY"/>
        </w:rPr>
        <w:t xml:space="preserve">, </w:t>
      </w:r>
      <w:r w:rsidR="00324184" w:rsidRPr="00324184">
        <w:rPr>
          <w:lang w:val="en-GB"/>
        </w:rPr>
        <w:t>012036</w:t>
      </w:r>
      <w:r w:rsidRPr="00241214">
        <w:rPr>
          <w:lang w:val="en-MY"/>
        </w:rPr>
        <w:t xml:space="preserve">. </w:t>
      </w:r>
    </w:p>
    <w:p w14:paraId="2DD0FBC0" w14:textId="5BCD476B" w:rsidR="00746258" w:rsidRPr="00241214" w:rsidRDefault="00746258" w:rsidP="00241214">
      <w:pPr>
        <w:pStyle w:val="CETBodytext"/>
        <w:ind w:left="426" w:hanging="426"/>
        <w:rPr>
          <w:lang w:val="en-MY"/>
        </w:rPr>
      </w:pPr>
      <w:r w:rsidRPr="00241214">
        <w:rPr>
          <w:lang w:val="en-MY"/>
        </w:rPr>
        <w:t>Teoh S.Q., Chin N.L., Chong C.W., Ripen A.M., How S.</w:t>
      </w:r>
      <w:r w:rsidR="00324184">
        <w:rPr>
          <w:lang w:val="en-MY"/>
        </w:rPr>
        <w:t>,</w:t>
      </w:r>
      <w:r w:rsidRPr="00241214">
        <w:rPr>
          <w:lang w:val="en-MY"/>
        </w:rPr>
        <w:t xml:space="preserve"> Lim, J.J.L.</w:t>
      </w:r>
      <w:r w:rsidR="00324184">
        <w:rPr>
          <w:lang w:val="en-MY"/>
        </w:rPr>
        <w:t>,</w:t>
      </w:r>
      <w:r w:rsidRPr="00241214">
        <w:rPr>
          <w:lang w:val="en-MY"/>
        </w:rPr>
        <w:t xml:space="preserve"> 2024</w:t>
      </w:r>
      <w:r w:rsidR="008D1615">
        <w:rPr>
          <w:lang w:val="en-MY"/>
        </w:rPr>
        <w:t>,</w:t>
      </w:r>
      <w:r w:rsidRPr="00241214">
        <w:rPr>
          <w:lang w:val="en-MY"/>
        </w:rPr>
        <w:t xml:space="preserve"> A review on health benefits and processing of </w:t>
      </w:r>
      <w:r w:rsidRPr="008517D2">
        <w:rPr>
          <w:i/>
          <w:iCs/>
          <w:lang w:val="en-MY"/>
        </w:rPr>
        <w:t>tempeh</w:t>
      </w:r>
      <w:r w:rsidRPr="00241214">
        <w:rPr>
          <w:lang w:val="en-MY"/>
        </w:rPr>
        <w:t xml:space="preserve"> with outlines on its functional microbes</w:t>
      </w:r>
      <w:r w:rsidR="008D1615">
        <w:rPr>
          <w:lang w:val="en-MY"/>
        </w:rPr>
        <w:t>,</w:t>
      </w:r>
      <w:r w:rsidRPr="00241214">
        <w:rPr>
          <w:lang w:val="en-MY"/>
        </w:rPr>
        <w:t xml:space="preserve"> Future Foods, 9, 100330. </w:t>
      </w:r>
    </w:p>
    <w:p w14:paraId="272BC957" w14:textId="4802D7C9" w:rsidR="00746258" w:rsidRPr="00241214" w:rsidRDefault="00746258" w:rsidP="00241214">
      <w:pPr>
        <w:pStyle w:val="CETBodytext"/>
        <w:ind w:left="426" w:hanging="426"/>
        <w:rPr>
          <w:lang w:val="en-MY"/>
        </w:rPr>
      </w:pPr>
      <w:r w:rsidRPr="00241214">
        <w:rPr>
          <w:lang w:val="en-MY"/>
        </w:rPr>
        <w:t xml:space="preserve">Yilmaz B., Sharma H., </w:t>
      </w:r>
      <w:proofErr w:type="spellStart"/>
      <w:r w:rsidRPr="00241214">
        <w:rPr>
          <w:lang w:val="en-MY"/>
        </w:rPr>
        <w:t>Melekoglu</w:t>
      </w:r>
      <w:proofErr w:type="spellEnd"/>
      <w:r w:rsidRPr="00241214">
        <w:rPr>
          <w:lang w:val="en-MY"/>
        </w:rPr>
        <w:t xml:space="preserve"> E., </w:t>
      </w:r>
      <w:proofErr w:type="spellStart"/>
      <w:r w:rsidRPr="00241214">
        <w:rPr>
          <w:lang w:val="en-MY"/>
        </w:rPr>
        <w:t>Ozogul</w:t>
      </w:r>
      <w:proofErr w:type="spellEnd"/>
      <w:r w:rsidRPr="00241214">
        <w:rPr>
          <w:lang w:val="en-MY"/>
        </w:rPr>
        <w:t xml:space="preserve"> F.</w:t>
      </w:r>
      <w:r w:rsidR="00324184">
        <w:rPr>
          <w:lang w:val="en-MY"/>
        </w:rPr>
        <w:t>,</w:t>
      </w:r>
      <w:r w:rsidRPr="00241214">
        <w:rPr>
          <w:lang w:val="en-MY"/>
        </w:rPr>
        <w:t xml:space="preserve"> 2022</w:t>
      </w:r>
      <w:r w:rsidR="008D1615">
        <w:rPr>
          <w:lang w:val="en-MY"/>
        </w:rPr>
        <w:t>,</w:t>
      </w:r>
      <w:r w:rsidRPr="00241214">
        <w:rPr>
          <w:lang w:val="en-MY"/>
        </w:rPr>
        <w:t xml:space="preserve"> Recent developments in dairy kefir-derived lactic acid bacteria and their health benefits</w:t>
      </w:r>
      <w:r w:rsidR="008D1615">
        <w:rPr>
          <w:lang w:val="en-MY"/>
        </w:rPr>
        <w:t>,</w:t>
      </w:r>
      <w:r w:rsidRPr="00241214">
        <w:rPr>
          <w:lang w:val="en-MY"/>
        </w:rPr>
        <w:t xml:space="preserve"> Food Bioscience, 46, 101592. </w:t>
      </w:r>
    </w:p>
    <w:p w14:paraId="428B022A" w14:textId="5216CB90" w:rsidR="00E65B91" w:rsidRPr="00241214" w:rsidRDefault="00746258" w:rsidP="00241214">
      <w:pPr>
        <w:pStyle w:val="CETBodytext"/>
        <w:ind w:left="426" w:hanging="426"/>
        <w:rPr>
          <w:lang w:val="en-MY"/>
        </w:rPr>
      </w:pPr>
      <w:r w:rsidRPr="00241214">
        <w:rPr>
          <w:lang w:val="en-MY"/>
        </w:rPr>
        <w:t xml:space="preserve">Yulandi A., </w:t>
      </w:r>
      <w:proofErr w:type="spellStart"/>
      <w:r w:rsidRPr="00241214">
        <w:rPr>
          <w:lang w:val="en-MY"/>
        </w:rPr>
        <w:t>Suwanto</w:t>
      </w:r>
      <w:proofErr w:type="spellEnd"/>
      <w:r w:rsidRPr="00241214">
        <w:rPr>
          <w:lang w:val="en-MY"/>
        </w:rPr>
        <w:t xml:space="preserve"> A., </w:t>
      </w:r>
      <w:proofErr w:type="spellStart"/>
      <w:r w:rsidRPr="00241214">
        <w:rPr>
          <w:lang w:val="en-MY"/>
        </w:rPr>
        <w:t>Waturangi</w:t>
      </w:r>
      <w:proofErr w:type="spellEnd"/>
      <w:r w:rsidRPr="00241214">
        <w:rPr>
          <w:lang w:val="en-MY"/>
        </w:rPr>
        <w:t xml:space="preserve"> D.E.</w:t>
      </w:r>
      <w:r w:rsidR="00324184">
        <w:rPr>
          <w:lang w:val="en-MY"/>
        </w:rPr>
        <w:t>,</w:t>
      </w:r>
      <w:r w:rsidRPr="00241214">
        <w:rPr>
          <w:lang w:val="en-MY"/>
        </w:rPr>
        <w:t xml:space="preserve"> Wahyudi A.T.</w:t>
      </w:r>
      <w:r w:rsidR="00324184">
        <w:rPr>
          <w:lang w:val="en-MY"/>
        </w:rPr>
        <w:t>,</w:t>
      </w:r>
      <w:r w:rsidRPr="00241214">
        <w:rPr>
          <w:lang w:val="en-MY"/>
        </w:rPr>
        <w:t xml:space="preserve"> 2020</w:t>
      </w:r>
      <w:r w:rsidR="008D1615">
        <w:rPr>
          <w:lang w:val="en-MY"/>
        </w:rPr>
        <w:t>,</w:t>
      </w:r>
      <w:r w:rsidRPr="00241214">
        <w:rPr>
          <w:lang w:val="en-MY"/>
        </w:rPr>
        <w:t xml:space="preserve"> Shotgun metagenomic analysis reveals new insights into bacterial community profiles in </w:t>
      </w:r>
      <w:r w:rsidRPr="00324184">
        <w:rPr>
          <w:i/>
          <w:iCs/>
          <w:lang w:val="en-MY"/>
        </w:rPr>
        <w:t>tempeh</w:t>
      </w:r>
      <w:r w:rsidR="008D1615">
        <w:rPr>
          <w:lang w:val="en-MY"/>
        </w:rPr>
        <w:t>,</w:t>
      </w:r>
      <w:r w:rsidRPr="00241214">
        <w:rPr>
          <w:lang w:val="en-MY"/>
        </w:rPr>
        <w:t xml:space="preserve"> BMC Research Notes, 13(1), 1</w:t>
      </w:r>
      <w:r w:rsidR="001F69CD">
        <w:rPr>
          <w:lang w:val="en-MY"/>
        </w:rPr>
        <w:t>-</w:t>
      </w:r>
      <w:r w:rsidRPr="00241214">
        <w:rPr>
          <w:lang w:val="en-MY"/>
        </w:rPr>
        <w:t xml:space="preserve">7. </w:t>
      </w:r>
    </w:p>
    <w:sectPr w:rsidR="00E65B91" w:rsidRPr="00241214" w:rsidSect="00B06D01">
      <w:type w:val="continuous"/>
      <w:pgSz w:w="11906" w:h="16838" w:code="9"/>
      <w:pgMar w:top="1699" w:right="1411" w:bottom="1699" w:left="1699" w:header="169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4B593" w14:textId="77777777" w:rsidR="005F17C0" w:rsidRDefault="005F17C0" w:rsidP="004F5E36">
      <w:r>
        <w:separator/>
      </w:r>
    </w:p>
  </w:endnote>
  <w:endnote w:type="continuationSeparator" w:id="0">
    <w:p w14:paraId="74A694E2" w14:textId="77777777" w:rsidR="005F17C0" w:rsidRDefault="005F17C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E094B" w14:textId="77777777" w:rsidR="005F17C0" w:rsidRDefault="005F17C0" w:rsidP="004F5E36">
      <w:r>
        <w:separator/>
      </w:r>
    </w:p>
  </w:footnote>
  <w:footnote w:type="continuationSeparator" w:id="0">
    <w:p w14:paraId="389EF56F" w14:textId="77777777" w:rsidR="005F17C0" w:rsidRDefault="005F17C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1B28386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2563623">
    <w:abstractNumId w:val="10"/>
  </w:num>
  <w:num w:numId="2" w16cid:durableId="1453549172">
    <w:abstractNumId w:val="8"/>
  </w:num>
  <w:num w:numId="3" w16cid:durableId="325980754">
    <w:abstractNumId w:val="3"/>
  </w:num>
  <w:num w:numId="4" w16cid:durableId="1789422728">
    <w:abstractNumId w:val="2"/>
  </w:num>
  <w:num w:numId="5" w16cid:durableId="873275219">
    <w:abstractNumId w:val="1"/>
  </w:num>
  <w:num w:numId="6" w16cid:durableId="1498109110">
    <w:abstractNumId w:val="0"/>
  </w:num>
  <w:num w:numId="7" w16cid:durableId="691221712">
    <w:abstractNumId w:val="9"/>
  </w:num>
  <w:num w:numId="8" w16cid:durableId="220680423">
    <w:abstractNumId w:val="7"/>
  </w:num>
  <w:num w:numId="9" w16cid:durableId="1570533149">
    <w:abstractNumId w:val="6"/>
  </w:num>
  <w:num w:numId="10" w16cid:durableId="251818112">
    <w:abstractNumId w:val="5"/>
  </w:num>
  <w:num w:numId="11" w16cid:durableId="596329034">
    <w:abstractNumId w:val="4"/>
  </w:num>
  <w:num w:numId="12" w16cid:durableId="1810171488">
    <w:abstractNumId w:val="17"/>
  </w:num>
  <w:num w:numId="13" w16cid:durableId="521667873">
    <w:abstractNumId w:val="12"/>
  </w:num>
  <w:num w:numId="14" w16cid:durableId="1849101769">
    <w:abstractNumId w:val="18"/>
  </w:num>
  <w:num w:numId="15" w16cid:durableId="223755546">
    <w:abstractNumId w:val="20"/>
  </w:num>
  <w:num w:numId="16" w16cid:durableId="850414937">
    <w:abstractNumId w:val="19"/>
  </w:num>
  <w:num w:numId="17" w16cid:durableId="279577532">
    <w:abstractNumId w:val="11"/>
  </w:num>
  <w:num w:numId="18" w16cid:durableId="1526552018">
    <w:abstractNumId w:val="12"/>
    <w:lvlOverride w:ilvl="0">
      <w:startOverride w:val="1"/>
    </w:lvlOverride>
  </w:num>
  <w:num w:numId="19" w16cid:durableId="1890989041">
    <w:abstractNumId w:val="16"/>
  </w:num>
  <w:num w:numId="20" w16cid:durableId="356544013">
    <w:abstractNumId w:val="15"/>
  </w:num>
  <w:num w:numId="21" w16cid:durableId="1950891406">
    <w:abstractNumId w:val="14"/>
  </w:num>
  <w:num w:numId="22" w16cid:durableId="8988862">
    <w:abstractNumId w:val="13"/>
  </w:num>
  <w:num w:numId="23" w16cid:durableId="1346908766">
    <w:abstractNumId w:val="10"/>
  </w:num>
  <w:num w:numId="24" w16cid:durableId="1814640039">
    <w:abstractNumId w:val="10"/>
  </w:num>
  <w:num w:numId="25" w16cid:durableId="243536226">
    <w:abstractNumId w:val="10"/>
  </w:num>
  <w:num w:numId="26" w16cid:durableId="371998775">
    <w:abstractNumId w:val="10"/>
  </w:num>
  <w:num w:numId="27" w16cid:durableId="221066247">
    <w:abstractNumId w:val="10"/>
  </w:num>
  <w:num w:numId="28" w16cid:durableId="696196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175"/>
    <w:rsid w:val="000117CB"/>
    <w:rsid w:val="0002261C"/>
    <w:rsid w:val="0003148D"/>
    <w:rsid w:val="00031EEC"/>
    <w:rsid w:val="00051566"/>
    <w:rsid w:val="00054288"/>
    <w:rsid w:val="000562A9"/>
    <w:rsid w:val="00062A9A"/>
    <w:rsid w:val="00065058"/>
    <w:rsid w:val="00076217"/>
    <w:rsid w:val="0008276B"/>
    <w:rsid w:val="00086C39"/>
    <w:rsid w:val="000A03B2"/>
    <w:rsid w:val="000A5192"/>
    <w:rsid w:val="000C5403"/>
    <w:rsid w:val="000D0268"/>
    <w:rsid w:val="000D34BE"/>
    <w:rsid w:val="000E102F"/>
    <w:rsid w:val="000E36F1"/>
    <w:rsid w:val="000E3A73"/>
    <w:rsid w:val="000E414A"/>
    <w:rsid w:val="000F093C"/>
    <w:rsid w:val="000F423C"/>
    <w:rsid w:val="000F787B"/>
    <w:rsid w:val="0010712F"/>
    <w:rsid w:val="00111E01"/>
    <w:rsid w:val="0012091F"/>
    <w:rsid w:val="00126BC2"/>
    <w:rsid w:val="001308B6"/>
    <w:rsid w:val="0013121F"/>
    <w:rsid w:val="00131FE6"/>
    <w:rsid w:val="0013263F"/>
    <w:rsid w:val="001331DF"/>
    <w:rsid w:val="00134DE4"/>
    <w:rsid w:val="0014034D"/>
    <w:rsid w:val="00144D16"/>
    <w:rsid w:val="001464B4"/>
    <w:rsid w:val="00150E59"/>
    <w:rsid w:val="00152DE3"/>
    <w:rsid w:val="00163730"/>
    <w:rsid w:val="00164CF9"/>
    <w:rsid w:val="001667A6"/>
    <w:rsid w:val="00174100"/>
    <w:rsid w:val="00176B87"/>
    <w:rsid w:val="00184AD6"/>
    <w:rsid w:val="001917A7"/>
    <w:rsid w:val="00192C76"/>
    <w:rsid w:val="001A4AF7"/>
    <w:rsid w:val="001B0349"/>
    <w:rsid w:val="001B1E93"/>
    <w:rsid w:val="001B65C1"/>
    <w:rsid w:val="001C3967"/>
    <w:rsid w:val="001C684B"/>
    <w:rsid w:val="001D0CFB"/>
    <w:rsid w:val="001D21AF"/>
    <w:rsid w:val="001D2672"/>
    <w:rsid w:val="001D456B"/>
    <w:rsid w:val="001D53FC"/>
    <w:rsid w:val="001E55E1"/>
    <w:rsid w:val="001F42A5"/>
    <w:rsid w:val="001F69CD"/>
    <w:rsid w:val="001F7B9D"/>
    <w:rsid w:val="001F7F35"/>
    <w:rsid w:val="00201C93"/>
    <w:rsid w:val="002224B4"/>
    <w:rsid w:val="00241214"/>
    <w:rsid w:val="002447EF"/>
    <w:rsid w:val="00251550"/>
    <w:rsid w:val="002522B8"/>
    <w:rsid w:val="00263B05"/>
    <w:rsid w:val="0026492E"/>
    <w:rsid w:val="0027221A"/>
    <w:rsid w:val="00272414"/>
    <w:rsid w:val="00275B61"/>
    <w:rsid w:val="00280FAF"/>
    <w:rsid w:val="00282656"/>
    <w:rsid w:val="0028435A"/>
    <w:rsid w:val="00296B83"/>
    <w:rsid w:val="002A0FA5"/>
    <w:rsid w:val="002A1750"/>
    <w:rsid w:val="002B4015"/>
    <w:rsid w:val="002B78CE"/>
    <w:rsid w:val="002C2FB6"/>
    <w:rsid w:val="002C3EB9"/>
    <w:rsid w:val="002D12E2"/>
    <w:rsid w:val="002D5788"/>
    <w:rsid w:val="002E5FA7"/>
    <w:rsid w:val="002E62CF"/>
    <w:rsid w:val="002E66F0"/>
    <w:rsid w:val="002F3309"/>
    <w:rsid w:val="002F712E"/>
    <w:rsid w:val="003008CE"/>
    <w:rsid w:val="003009B7"/>
    <w:rsid w:val="00300E56"/>
    <w:rsid w:val="0030152C"/>
    <w:rsid w:val="0030469C"/>
    <w:rsid w:val="00321CA6"/>
    <w:rsid w:val="00323763"/>
    <w:rsid w:val="00323C5F"/>
    <w:rsid w:val="00324184"/>
    <w:rsid w:val="003312AE"/>
    <w:rsid w:val="00331FCD"/>
    <w:rsid w:val="00334C09"/>
    <w:rsid w:val="0034701B"/>
    <w:rsid w:val="003555B5"/>
    <w:rsid w:val="0036761C"/>
    <w:rsid w:val="003723D4"/>
    <w:rsid w:val="00374F0E"/>
    <w:rsid w:val="00381905"/>
    <w:rsid w:val="00383085"/>
    <w:rsid w:val="00384CC8"/>
    <w:rsid w:val="003871FD"/>
    <w:rsid w:val="003A1E30"/>
    <w:rsid w:val="003A2829"/>
    <w:rsid w:val="003A7D1C"/>
    <w:rsid w:val="003B13D2"/>
    <w:rsid w:val="003B304B"/>
    <w:rsid w:val="003B3146"/>
    <w:rsid w:val="003C2A45"/>
    <w:rsid w:val="003F015E"/>
    <w:rsid w:val="00400414"/>
    <w:rsid w:val="0041446B"/>
    <w:rsid w:val="0042208C"/>
    <w:rsid w:val="00431D67"/>
    <w:rsid w:val="00436770"/>
    <w:rsid w:val="0044071E"/>
    <w:rsid w:val="00441A04"/>
    <w:rsid w:val="0044329C"/>
    <w:rsid w:val="00446569"/>
    <w:rsid w:val="00453E24"/>
    <w:rsid w:val="00454636"/>
    <w:rsid w:val="00455E98"/>
    <w:rsid w:val="00457456"/>
    <w:rsid w:val="004577FE"/>
    <w:rsid w:val="00457B9C"/>
    <w:rsid w:val="0046164A"/>
    <w:rsid w:val="004628D2"/>
    <w:rsid w:val="00462DCD"/>
    <w:rsid w:val="004648AD"/>
    <w:rsid w:val="004703A9"/>
    <w:rsid w:val="004760DE"/>
    <w:rsid w:val="004763D7"/>
    <w:rsid w:val="00484105"/>
    <w:rsid w:val="004A004E"/>
    <w:rsid w:val="004A24CF"/>
    <w:rsid w:val="004B6CD1"/>
    <w:rsid w:val="004C2E86"/>
    <w:rsid w:val="004C3D1D"/>
    <w:rsid w:val="004C3D84"/>
    <w:rsid w:val="004C7913"/>
    <w:rsid w:val="004D3293"/>
    <w:rsid w:val="004D482F"/>
    <w:rsid w:val="004D495A"/>
    <w:rsid w:val="004D499B"/>
    <w:rsid w:val="004E4DD6"/>
    <w:rsid w:val="004F5E36"/>
    <w:rsid w:val="005008F7"/>
    <w:rsid w:val="00504017"/>
    <w:rsid w:val="00507B47"/>
    <w:rsid w:val="00507BEF"/>
    <w:rsid w:val="00507CC9"/>
    <w:rsid w:val="005119A5"/>
    <w:rsid w:val="00525DF2"/>
    <w:rsid w:val="005278B7"/>
    <w:rsid w:val="00532016"/>
    <w:rsid w:val="005346C8"/>
    <w:rsid w:val="00543E7D"/>
    <w:rsid w:val="00547A68"/>
    <w:rsid w:val="005531C9"/>
    <w:rsid w:val="00554C48"/>
    <w:rsid w:val="0055573F"/>
    <w:rsid w:val="00557E00"/>
    <w:rsid w:val="00570C43"/>
    <w:rsid w:val="0059359E"/>
    <w:rsid w:val="005A0E5A"/>
    <w:rsid w:val="005A6F99"/>
    <w:rsid w:val="005B2110"/>
    <w:rsid w:val="005B61E6"/>
    <w:rsid w:val="005B7981"/>
    <w:rsid w:val="005C77E1"/>
    <w:rsid w:val="005D668A"/>
    <w:rsid w:val="005D6A2F"/>
    <w:rsid w:val="005E1A82"/>
    <w:rsid w:val="005E496A"/>
    <w:rsid w:val="005E4F2B"/>
    <w:rsid w:val="005E72C6"/>
    <w:rsid w:val="005E794C"/>
    <w:rsid w:val="005F0A28"/>
    <w:rsid w:val="005F0E5E"/>
    <w:rsid w:val="005F17C0"/>
    <w:rsid w:val="005F29B0"/>
    <w:rsid w:val="0060027E"/>
    <w:rsid w:val="00600535"/>
    <w:rsid w:val="00610CD6"/>
    <w:rsid w:val="00614991"/>
    <w:rsid w:val="00620CE0"/>
    <w:rsid w:val="00620DEE"/>
    <w:rsid w:val="00621F92"/>
    <w:rsid w:val="0062280A"/>
    <w:rsid w:val="00623A4B"/>
    <w:rsid w:val="00625639"/>
    <w:rsid w:val="006259DA"/>
    <w:rsid w:val="00631B33"/>
    <w:rsid w:val="0064184D"/>
    <w:rsid w:val="006422CC"/>
    <w:rsid w:val="00644320"/>
    <w:rsid w:val="00660E3E"/>
    <w:rsid w:val="00662D03"/>
    <w:rsid w:val="00662E74"/>
    <w:rsid w:val="00680C23"/>
    <w:rsid w:val="00681460"/>
    <w:rsid w:val="006869FA"/>
    <w:rsid w:val="00690754"/>
    <w:rsid w:val="00693766"/>
    <w:rsid w:val="006A1FAD"/>
    <w:rsid w:val="006A3281"/>
    <w:rsid w:val="006B4888"/>
    <w:rsid w:val="006B5B81"/>
    <w:rsid w:val="006C2E45"/>
    <w:rsid w:val="006C359C"/>
    <w:rsid w:val="006C5579"/>
    <w:rsid w:val="006D6E8B"/>
    <w:rsid w:val="006D7459"/>
    <w:rsid w:val="006E737D"/>
    <w:rsid w:val="006F4CB6"/>
    <w:rsid w:val="00707DD1"/>
    <w:rsid w:val="00713973"/>
    <w:rsid w:val="00720A24"/>
    <w:rsid w:val="007250B3"/>
    <w:rsid w:val="00732386"/>
    <w:rsid w:val="0073514D"/>
    <w:rsid w:val="007447F3"/>
    <w:rsid w:val="00746258"/>
    <w:rsid w:val="0075499F"/>
    <w:rsid w:val="007636D0"/>
    <w:rsid w:val="007645EE"/>
    <w:rsid w:val="007661C8"/>
    <w:rsid w:val="0077098D"/>
    <w:rsid w:val="00776F2D"/>
    <w:rsid w:val="00790656"/>
    <w:rsid w:val="007931FA"/>
    <w:rsid w:val="007A3AF6"/>
    <w:rsid w:val="007A3FF3"/>
    <w:rsid w:val="007A4861"/>
    <w:rsid w:val="007A7BBA"/>
    <w:rsid w:val="007B0C50"/>
    <w:rsid w:val="007B17AA"/>
    <w:rsid w:val="007B48F9"/>
    <w:rsid w:val="007C1A43"/>
    <w:rsid w:val="007C7452"/>
    <w:rsid w:val="007D0951"/>
    <w:rsid w:val="007D6466"/>
    <w:rsid w:val="007F16F3"/>
    <w:rsid w:val="007F494E"/>
    <w:rsid w:val="007F7205"/>
    <w:rsid w:val="0080013E"/>
    <w:rsid w:val="00811B32"/>
    <w:rsid w:val="00813288"/>
    <w:rsid w:val="008168FC"/>
    <w:rsid w:val="00823A7B"/>
    <w:rsid w:val="00830996"/>
    <w:rsid w:val="008345F1"/>
    <w:rsid w:val="0084278B"/>
    <w:rsid w:val="008517D2"/>
    <w:rsid w:val="00865B07"/>
    <w:rsid w:val="008667EA"/>
    <w:rsid w:val="0087637F"/>
    <w:rsid w:val="00884D5E"/>
    <w:rsid w:val="00885E31"/>
    <w:rsid w:val="00892AD5"/>
    <w:rsid w:val="008A1512"/>
    <w:rsid w:val="008A7677"/>
    <w:rsid w:val="008C7456"/>
    <w:rsid w:val="008D1615"/>
    <w:rsid w:val="008D32B9"/>
    <w:rsid w:val="008D433B"/>
    <w:rsid w:val="008D4660"/>
    <w:rsid w:val="008D4A16"/>
    <w:rsid w:val="008E566E"/>
    <w:rsid w:val="008E58F7"/>
    <w:rsid w:val="0090161A"/>
    <w:rsid w:val="00901EB6"/>
    <w:rsid w:val="00904C62"/>
    <w:rsid w:val="00911381"/>
    <w:rsid w:val="0092000E"/>
    <w:rsid w:val="00922BA8"/>
    <w:rsid w:val="00924DAC"/>
    <w:rsid w:val="00927058"/>
    <w:rsid w:val="009275F1"/>
    <w:rsid w:val="00942750"/>
    <w:rsid w:val="009450CE"/>
    <w:rsid w:val="009459BB"/>
    <w:rsid w:val="00947179"/>
    <w:rsid w:val="0095164B"/>
    <w:rsid w:val="00954090"/>
    <w:rsid w:val="009573E7"/>
    <w:rsid w:val="00960D81"/>
    <w:rsid w:val="00963E05"/>
    <w:rsid w:val="00964A45"/>
    <w:rsid w:val="00967843"/>
    <w:rsid w:val="00967D54"/>
    <w:rsid w:val="00971028"/>
    <w:rsid w:val="0099156F"/>
    <w:rsid w:val="00993B84"/>
    <w:rsid w:val="00996483"/>
    <w:rsid w:val="00996F5A"/>
    <w:rsid w:val="009A67D8"/>
    <w:rsid w:val="009B041A"/>
    <w:rsid w:val="009C37C3"/>
    <w:rsid w:val="009C4BFE"/>
    <w:rsid w:val="009C7C86"/>
    <w:rsid w:val="009D2FF7"/>
    <w:rsid w:val="009D3B88"/>
    <w:rsid w:val="009D7980"/>
    <w:rsid w:val="009E18E9"/>
    <w:rsid w:val="009E2D63"/>
    <w:rsid w:val="009E7884"/>
    <w:rsid w:val="009E788A"/>
    <w:rsid w:val="009F0E08"/>
    <w:rsid w:val="00A0035F"/>
    <w:rsid w:val="00A11BFB"/>
    <w:rsid w:val="00A1763D"/>
    <w:rsid w:val="00A17CEC"/>
    <w:rsid w:val="00A27EF0"/>
    <w:rsid w:val="00A42361"/>
    <w:rsid w:val="00A4445E"/>
    <w:rsid w:val="00A448E5"/>
    <w:rsid w:val="00A50B20"/>
    <w:rsid w:val="00A5133E"/>
    <w:rsid w:val="00A51390"/>
    <w:rsid w:val="00A5653E"/>
    <w:rsid w:val="00A57159"/>
    <w:rsid w:val="00A60D13"/>
    <w:rsid w:val="00A714EF"/>
    <w:rsid w:val="00A7223D"/>
    <w:rsid w:val="00A72272"/>
    <w:rsid w:val="00A72745"/>
    <w:rsid w:val="00A76EFC"/>
    <w:rsid w:val="00A83C31"/>
    <w:rsid w:val="00A87D50"/>
    <w:rsid w:val="00A91010"/>
    <w:rsid w:val="00A91FDA"/>
    <w:rsid w:val="00A97F29"/>
    <w:rsid w:val="00AA702E"/>
    <w:rsid w:val="00AA7D26"/>
    <w:rsid w:val="00AB0964"/>
    <w:rsid w:val="00AB5011"/>
    <w:rsid w:val="00AC7368"/>
    <w:rsid w:val="00AD16B9"/>
    <w:rsid w:val="00AD19CE"/>
    <w:rsid w:val="00AE377D"/>
    <w:rsid w:val="00AF0EBA"/>
    <w:rsid w:val="00AF46C8"/>
    <w:rsid w:val="00B02414"/>
    <w:rsid w:val="00B02C8A"/>
    <w:rsid w:val="00B06D01"/>
    <w:rsid w:val="00B17FBD"/>
    <w:rsid w:val="00B315A6"/>
    <w:rsid w:val="00B31813"/>
    <w:rsid w:val="00B33365"/>
    <w:rsid w:val="00B33695"/>
    <w:rsid w:val="00B46E86"/>
    <w:rsid w:val="00B57B36"/>
    <w:rsid w:val="00B57E6F"/>
    <w:rsid w:val="00B724E6"/>
    <w:rsid w:val="00B7379A"/>
    <w:rsid w:val="00B773F2"/>
    <w:rsid w:val="00B809F4"/>
    <w:rsid w:val="00B866BE"/>
    <w:rsid w:val="00B8686D"/>
    <w:rsid w:val="00B93F69"/>
    <w:rsid w:val="00BB1DDC"/>
    <w:rsid w:val="00BB5B62"/>
    <w:rsid w:val="00BC135D"/>
    <w:rsid w:val="00BC30C9"/>
    <w:rsid w:val="00BD077D"/>
    <w:rsid w:val="00BD5263"/>
    <w:rsid w:val="00BD5A18"/>
    <w:rsid w:val="00BE024D"/>
    <w:rsid w:val="00BE3E58"/>
    <w:rsid w:val="00C01616"/>
    <w:rsid w:val="00C0162B"/>
    <w:rsid w:val="00C04C5B"/>
    <w:rsid w:val="00C068ED"/>
    <w:rsid w:val="00C1654D"/>
    <w:rsid w:val="00C22E0C"/>
    <w:rsid w:val="00C24AF1"/>
    <w:rsid w:val="00C3385C"/>
    <w:rsid w:val="00C345B1"/>
    <w:rsid w:val="00C34648"/>
    <w:rsid w:val="00C37FBC"/>
    <w:rsid w:val="00C40142"/>
    <w:rsid w:val="00C52C3C"/>
    <w:rsid w:val="00C57182"/>
    <w:rsid w:val="00C57863"/>
    <w:rsid w:val="00C6051F"/>
    <w:rsid w:val="00C640AF"/>
    <w:rsid w:val="00C655FD"/>
    <w:rsid w:val="00C65D2B"/>
    <w:rsid w:val="00C661DD"/>
    <w:rsid w:val="00C7359F"/>
    <w:rsid w:val="00C740F5"/>
    <w:rsid w:val="00C75407"/>
    <w:rsid w:val="00C7655E"/>
    <w:rsid w:val="00C841C6"/>
    <w:rsid w:val="00C86568"/>
    <w:rsid w:val="00C870A8"/>
    <w:rsid w:val="00C87AE8"/>
    <w:rsid w:val="00C92870"/>
    <w:rsid w:val="00C94434"/>
    <w:rsid w:val="00CA0D75"/>
    <w:rsid w:val="00CA1C95"/>
    <w:rsid w:val="00CA5A9C"/>
    <w:rsid w:val="00CC4C20"/>
    <w:rsid w:val="00CC702D"/>
    <w:rsid w:val="00CD02BF"/>
    <w:rsid w:val="00CD3517"/>
    <w:rsid w:val="00CD5FE2"/>
    <w:rsid w:val="00CE4CBC"/>
    <w:rsid w:val="00CE7C68"/>
    <w:rsid w:val="00CF5D9A"/>
    <w:rsid w:val="00D02B4C"/>
    <w:rsid w:val="00D040C4"/>
    <w:rsid w:val="00D1142F"/>
    <w:rsid w:val="00D20AD1"/>
    <w:rsid w:val="00D2582C"/>
    <w:rsid w:val="00D26072"/>
    <w:rsid w:val="00D46B7E"/>
    <w:rsid w:val="00D57C84"/>
    <w:rsid w:val="00D6057D"/>
    <w:rsid w:val="00D67A08"/>
    <w:rsid w:val="00D71640"/>
    <w:rsid w:val="00D72172"/>
    <w:rsid w:val="00D836C5"/>
    <w:rsid w:val="00D84576"/>
    <w:rsid w:val="00D84811"/>
    <w:rsid w:val="00DA1399"/>
    <w:rsid w:val="00DA24C6"/>
    <w:rsid w:val="00DA4D7B"/>
    <w:rsid w:val="00DB5FB5"/>
    <w:rsid w:val="00DD271C"/>
    <w:rsid w:val="00DE264A"/>
    <w:rsid w:val="00DF5072"/>
    <w:rsid w:val="00E02D18"/>
    <w:rsid w:val="00E041E7"/>
    <w:rsid w:val="00E12ECF"/>
    <w:rsid w:val="00E224F6"/>
    <w:rsid w:val="00E23CA1"/>
    <w:rsid w:val="00E355D1"/>
    <w:rsid w:val="00E409A8"/>
    <w:rsid w:val="00E50C12"/>
    <w:rsid w:val="00E65B91"/>
    <w:rsid w:val="00E7209D"/>
    <w:rsid w:val="00E72EAD"/>
    <w:rsid w:val="00E77223"/>
    <w:rsid w:val="00E8528B"/>
    <w:rsid w:val="00E85B94"/>
    <w:rsid w:val="00E87555"/>
    <w:rsid w:val="00E978D0"/>
    <w:rsid w:val="00EA4613"/>
    <w:rsid w:val="00EA7F91"/>
    <w:rsid w:val="00EB1523"/>
    <w:rsid w:val="00EC0E49"/>
    <w:rsid w:val="00EC101F"/>
    <w:rsid w:val="00EC1D9F"/>
    <w:rsid w:val="00ED154C"/>
    <w:rsid w:val="00EE0131"/>
    <w:rsid w:val="00EE17B0"/>
    <w:rsid w:val="00EE21C4"/>
    <w:rsid w:val="00EE7CD0"/>
    <w:rsid w:val="00EF05F2"/>
    <w:rsid w:val="00EF06D9"/>
    <w:rsid w:val="00EF1362"/>
    <w:rsid w:val="00F016D1"/>
    <w:rsid w:val="00F03DC7"/>
    <w:rsid w:val="00F27BA1"/>
    <w:rsid w:val="00F27F47"/>
    <w:rsid w:val="00F3049E"/>
    <w:rsid w:val="00F30C64"/>
    <w:rsid w:val="00F32BA2"/>
    <w:rsid w:val="00F32CDB"/>
    <w:rsid w:val="00F36A48"/>
    <w:rsid w:val="00F52802"/>
    <w:rsid w:val="00F55DD0"/>
    <w:rsid w:val="00F565FE"/>
    <w:rsid w:val="00F63A70"/>
    <w:rsid w:val="00F63D8C"/>
    <w:rsid w:val="00F6647F"/>
    <w:rsid w:val="00F66807"/>
    <w:rsid w:val="00F71D7F"/>
    <w:rsid w:val="00F74518"/>
    <w:rsid w:val="00F7534E"/>
    <w:rsid w:val="00F7727A"/>
    <w:rsid w:val="00F93EDF"/>
    <w:rsid w:val="00FA1802"/>
    <w:rsid w:val="00FA21D0"/>
    <w:rsid w:val="00FA538F"/>
    <w:rsid w:val="00FA5F5F"/>
    <w:rsid w:val="00FB0F8D"/>
    <w:rsid w:val="00FB730C"/>
    <w:rsid w:val="00FC1D99"/>
    <w:rsid w:val="00FC2695"/>
    <w:rsid w:val="00FC3E03"/>
    <w:rsid w:val="00FC3FC1"/>
    <w:rsid w:val="00FD52AB"/>
    <w:rsid w:val="00FD728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F4CB6"/>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F4CB6"/>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character" w:customStyle="1" w:styleId="gmail-apple-converted-space">
    <w:name w:val="gmail-apple-converted-space"/>
    <w:basedOn w:val="DefaultParagraphFont"/>
    <w:rsid w:val="00005A19"/>
  </w:style>
  <w:style w:type="table" w:customStyle="1" w:styleId="TableGrid411">
    <w:name w:val="Table Grid411"/>
    <w:basedOn w:val="TableNormal"/>
    <w:next w:val="TableGrid"/>
    <w:uiPriority w:val="39"/>
    <w:rsid w:val="006A1FAD"/>
    <w:pPr>
      <w:spacing w:after="0" w:line="240" w:lineRule="auto"/>
    </w:pPr>
    <w:rPr>
      <w:rFonts w:eastAsiaTheme="minorEastAsia"/>
      <w:kern w:val="2"/>
      <w:sz w:val="24"/>
      <w:szCs w:val="24"/>
      <w:lang w:val="en-US"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522B8"/>
    <w:pPr>
      <w:spacing w:after="0" w:line="240" w:lineRule="auto"/>
    </w:pPr>
    <w:rPr>
      <w:rFonts w:ascii="Aptos" w:eastAsia="DengXian" w:hAnsi="Aptos" w:cs="Times New Roman"/>
      <w:kern w:val="2"/>
      <w:lang w:val="en-MY" w:eastAsia="zh-C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22B8"/>
    <w:pPr>
      <w:spacing w:after="0" w:line="240" w:lineRule="auto"/>
    </w:pPr>
    <w:rPr>
      <w:rFonts w:ascii="Aptos" w:eastAsia="DengXian" w:hAnsi="Aptos" w:cs="Times New Roman"/>
      <w:kern w:val="2"/>
      <w:lang w:val="en-MY" w:eastAsia="zh-C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22B8"/>
    <w:rPr>
      <w:color w:val="605E5C"/>
      <w:shd w:val="clear" w:color="auto" w:fill="E1DFDD"/>
    </w:rPr>
  </w:style>
  <w:style w:type="character" w:styleId="PlaceholderText">
    <w:name w:val="Placeholder Text"/>
    <w:basedOn w:val="DefaultParagraphFont"/>
    <w:uiPriority w:val="99"/>
    <w:semiHidden/>
    <w:rsid w:val="001917A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nnaj\Desktop\Bioinformatics\Milk%20Kefir%20and%20Tempe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'16S\[16s Result.xlsx]Genus'!$V$25</c:f>
              <c:strCache>
                <c:ptCount val="1"/>
                <c:pt idx="0">
                  <c:v>Bacillus</c:v>
                </c:pt>
              </c:strCache>
            </c:strRef>
          </c:tx>
          <c:spPr>
            <a:solidFill>
              <a:schemeClr val="accent1"/>
            </a:solidFill>
            <a:ln>
              <a:noFill/>
            </a:ln>
            <a:effectLst/>
          </c:spPr>
          <c:invertIfNegative val="0"/>
          <c:cat>
            <c:strRef>
              <c:f>'16S\[16s Result.xlsx]Genus'!$U$26:$U$29</c:f>
              <c:strCache>
                <c:ptCount val="4"/>
                <c:pt idx="0">
                  <c:v>Commercial Milk Kefir</c:v>
                </c:pt>
                <c:pt idx="1">
                  <c:v>Optimised Milk Kefir</c:v>
                </c:pt>
                <c:pt idx="2">
                  <c:v>Commercial Tempeh</c:v>
                </c:pt>
                <c:pt idx="3">
                  <c:v>Optimised Tempeh</c:v>
                </c:pt>
              </c:strCache>
            </c:strRef>
          </c:cat>
          <c:val>
            <c:numRef>
              <c:f>'16S\[16s Result.xlsx]Genus'!$V$26:$V$29</c:f>
              <c:numCache>
                <c:formatCode>General</c:formatCode>
                <c:ptCount val="4"/>
                <c:pt idx="0">
                  <c:v>0</c:v>
                </c:pt>
                <c:pt idx="1">
                  <c:v>1.5819224939978914E-3</c:v>
                </c:pt>
                <c:pt idx="2">
                  <c:v>3.19689612923719</c:v>
                </c:pt>
                <c:pt idx="3">
                  <c:v>48.11751087181193</c:v>
                </c:pt>
              </c:numCache>
            </c:numRef>
          </c:val>
          <c:extLst xmlns="http://schemas.openxmlformats.org/drawingml/2006/chart">
            <c:ext xmlns:c16="http://schemas.microsoft.com/office/drawing/2014/chart" uri="{C3380CC4-5D6E-409C-BE32-E72D297353CC}">
              <c16:uniqueId val="{00000000-312E-4006-8142-C5739960734B}"/>
            </c:ext>
          </c:extLst>
        </c:ser>
        <c:ser>
          <c:idx val="1"/>
          <c:order val="1"/>
          <c:tx>
            <c:strRef>
              <c:f>'16S\[16s Result.xlsx]Genus'!$W$25</c:f>
              <c:strCache>
                <c:ptCount val="1"/>
                <c:pt idx="0">
                  <c:v>Weissella</c:v>
                </c:pt>
              </c:strCache>
            </c:strRef>
          </c:tx>
          <c:spPr>
            <a:solidFill>
              <a:schemeClr val="accent2"/>
            </a:solidFill>
            <a:ln>
              <a:noFill/>
            </a:ln>
            <a:effectLst/>
          </c:spPr>
          <c:invertIfNegative val="0"/>
          <c:cat>
            <c:strRef>
              <c:f>'16S\[16s Result.xlsx]Genus'!$U$26:$U$29</c:f>
              <c:strCache>
                <c:ptCount val="4"/>
                <c:pt idx="0">
                  <c:v>Commercial Milk Kefir</c:v>
                </c:pt>
                <c:pt idx="1">
                  <c:v>Optimised Milk Kefir</c:v>
                </c:pt>
                <c:pt idx="2">
                  <c:v>Commercial Tempeh</c:v>
                </c:pt>
                <c:pt idx="3">
                  <c:v>Optimised Tempeh</c:v>
                </c:pt>
              </c:strCache>
            </c:strRef>
          </c:cat>
          <c:val>
            <c:numRef>
              <c:f>'16S\[16s Result.xlsx]Genus'!$W$26:$W$29</c:f>
              <c:numCache>
                <c:formatCode>General</c:formatCode>
                <c:ptCount val="4"/>
                <c:pt idx="0">
                  <c:v>0</c:v>
                </c:pt>
                <c:pt idx="1">
                  <c:v>0</c:v>
                </c:pt>
                <c:pt idx="2">
                  <c:v>54.537822752643272</c:v>
                </c:pt>
                <c:pt idx="3">
                  <c:v>46.694894954500718</c:v>
                </c:pt>
              </c:numCache>
            </c:numRef>
          </c:val>
          <c:extLst xmlns="http://schemas.openxmlformats.org/drawingml/2006/chart">
            <c:ext xmlns:c16="http://schemas.microsoft.com/office/drawing/2014/chart" uri="{C3380CC4-5D6E-409C-BE32-E72D297353CC}">
              <c16:uniqueId val="{00000001-312E-4006-8142-C5739960734B}"/>
            </c:ext>
          </c:extLst>
        </c:ser>
        <c:ser>
          <c:idx val="2"/>
          <c:order val="2"/>
          <c:tx>
            <c:strRef>
              <c:f>'16S\[16s Result.xlsx]Genus'!$X$25</c:f>
              <c:strCache>
                <c:ptCount val="1"/>
                <c:pt idx="0">
                  <c:v>Klebsiella</c:v>
                </c:pt>
              </c:strCache>
            </c:strRef>
          </c:tx>
          <c:spPr>
            <a:solidFill>
              <a:schemeClr val="accent3"/>
            </a:solidFill>
            <a:ln>
              <a:noFill/>
            </a:ln>
            <a:effectLst/>
          </c:spPr>
          <c:invertIfNegative val="0"/>
          <c:cat>
            <c:strRef>
              <c:f>'16S\[16s Result.xlsx]Genus'!$U$26:$U$29</c:f>
              <c:strCache>
                <c:ptCount val="4"/>
                <c:pt idx="0">
                  <c:v>Commercial Milk Kefir</c:v>
                </c:pt>
                <c:pt idx="1">
                  <c:v>Optimised Milk Kefir</c:v>
                </c:pt>
                <c:pt idx="2">
                  <c:v>Commercial Tempeh</c:v>
                </c:pt>
                <c:pt idx="3">
                  <c:v>Optimised Tempeh</c:v>
                </c:pt>
              </c:strCache>
            </c:strRef>
          </c:cat>
          <c:val>
            <c:numRef>
              <c:f>'16S\[16s Result.xlsx]Genus'!$X$26:$X$29</c:f>
              <c:numCache>
                <c:formatCode>General</c:formatCode>
                <c:ptCount val="4"/>
                <c:pt idx="0">
                  <c:v>0</c:v>
                </c:pt>
                <c:pt idx="1">
                  <c:v>0.90350391155254828</c:v>
                </c:pt>
                <c:pt idx="2">
                  <c:v>0.11798339156872537</c:v>
                </c:pt>
                <c:pt idx="3">
                  <c:v>2.155414756000182</c:v>
                </c:pt>
              </c:numCache>
            </c:numRef>
          </c:val>
          <c:extLst xmlns="http://schemas.openxmlformats.org/drawingml/2006/chart">
            <c:ext xmlns:c16="http://schemas.microsoft.com/office/drawing/2014/chart" uri="{C3380CC4-5D6E-409C-BE32-E72D297353CC}">
              <c16:uniqueId val="{00000002-312E-4006-8142-C5739960734B}"/>
            </c:ext>
          </c:extLst>
        </c:ser>
        <c:ser>
          <c:idx val="3"/>
          <c:order val="3"/>
          <c:tx>
            <c:strRef>
              <c:f>'16S\[16s Result.xlsx]Genus'!$Y$25</c:f>
              <c:strCache>
                <c:ptCount val="1"/>
                <c:pt idx="0">
                  <c:v>Acinetobacter</c:v>
                </c:pt>
              </c:strCache>
            </c:strRef>
          </c:tx>
          <c:spPr>
            <a:solidFill>
              <a:schemeClr val="accent4"/>
            </a:solidFill>
            <a:ln>
              <a:noFill/>
            </a:ln>
            <a:effectLst/>
          </c:spPr>
          <c:invertIfNegative val="0"/>
          <c:cat>
            <c:strRef>
              <c:f>'16S\[16s Result.xlsx]Genus'!$U$26:$U$29</c:f>
              <c:strCache>
                <c:ptCount val="4"/>
                <c:pt idx="0">
                  <c:v>Commercial Milk Kefir</c:v>
                </c:pt>
                <c:pt idx="1">
                  <c:v>Optimised Milk Kefir</c:v>
                </c:pt>
                <c:pt idx="2">
                  <c:v>Commercial Tempeh</c:v>
                </c:pt>
                <c:pt idx="3">
                  <c:v>Optimised Tempeh</c:v>
                </c:pt>
              </c:strCache>
            </c:strRef>
          </c:cat>
          <c:val>
            <c:numRef>
              <c:f>'16S\[16s Result.xlsx]Genus'!$Y$26:$Y$29</c:f>
              <c:numCache>
                <c:formatCode>General</c:formatCode>
                <c:ptCount val="4"/>
                <c:pt idx="0">
                  <c:v>0</c:v>
                </c:pt>
                <c:pt idx="1">
                  <c:v>8.0946394445644849E-3</c:v>
                </c:pt>
                <c:pt idx="2">
                  <c:v>3.9479057947996532</c:v>
                </c:pt>
                <c:pt idx="3">
                  <c:v>2.616624947889707</c:v>
                </c:pt>
              </c:numCache>
            </c:numRef>
          </c:val>
          <c:extLst xmlns="http://schemas.openxmlformats.org/drawingml/2006/chart">
            <c:ext xmlns:c16="http://schemas.microsoft.com/office/drawing/2014/chart" uri="{C3380CC4-5D6E-409C-BE32-E72D297353CC}">
              <c16:uniqueId val="{00000003-312E-4006-8142-C5739960734B}"/>
            </c:ext>
          </c:extLst>
        </c:ser>
        <c:ser>
          <c:idx val="4"/>
          <c:order val="4"/>
          <c:tx>
            <c:strRef>
              <c:f>'16S\[16s Result.xlsx]Genus'!$Z$25</c:f>
              <c:strCache>
                <c:ptCount val="1"/>
                <c:pt idx="0">
                  <c:v>Streptococcus</c:v>
                </c:pt>
              </c:strCache>
            </c:strRef>
          </c:tx>
          <c:spPr>
            <a:solidFill>
              <a:schemeClr val="accent5"/>
            </a:solidFill>
            <a:ln>
              <a:noFill/>
            </a:ln>
            <a:effectLst/>
          </c:spPr>
          <c:invertIfNegative val="0"/>
          <c:cat>
            <c:strRef>
              <c:f>'16S\[16s Result.xlsx]Genus'!$U$26:$U$29</c:f>
              <c:strCache>
                <c:ptCount val="4"/>
                <c:pt idx="0">
                  <c:v>Commercial Milk Kefir</c:v>
                </c:pt>
                <c:pt idx="1">
                  <c:v>Optimised Milk Kefir</c:v>
                </c:pt>
                <c:pt idx="2">
                  <c:v>Commercial Tempeh</c:v>
                </c:pt>
                <c:pt idx="3">
                  <c:v>Optimised Tempeh</c:v>
                </c:pt>
              </c:strCache>
            </c:strRef>
          </c:cat>
          <c:val>
            <c:numRef>
              <c:f>'16S\[16s Result.xlsx]Genus'!$Z$26:$Z$29</c:f>
              <c:numCache>
                <c:formatCode>General</c:formatCode>
                <c:ptCount val="4"/>
                <c:pt idx="0">
                  <c:v>56.089651063516143</c:v>
                </c:pt>
                <c:pt idx="1">
                  <c:v>25.651185871649535</c:v>
                </c:pt>
                <c:pt idx="2">
                  <c:v>15.846077052230296</c:v>
                </c:pt>
                <c:pt idx="3">
                  <c:v>4.5298393436046122E-2</c:v>
                </c:pt>
              </c:numCache>
            </c:numRef>
          </c:val>
          <c:extLst xmlns="http://schemas.openxmlformats.org/drawingml/2006/chart">
            <c:ext xmlns:c16="http://schemas.microsoft.com/office/drawing/2014/chart" uri="{C3380CC4-5D6E-409C-BE32-E72D297353CC}">
              <c16:uniqueId val="{00000004-312E-4006-8142-C5739960734B}"/>
            </c:ext>
          </c:extLst>
        </c:ser>
        <c:ser>
          <c:idx val="5"/>
          <c:order val="5"/>
          <c:tx>
            <c:strRef>
              <c:f>'16S\[16s Result.xlsx]Genus'!$AA$25</c:f>
              <c:strCache>
                <c:ptCount val="1"/>
                <c:pt idx="0">
                  <c:v>Staphylococcus</c:v>
                </c:pt>
              </c:strCache>
            </c:strRef>
          </c:tx>
          <c:spPr>
            <a:solidFill>
              <a:schemeClr val="accent6"/>
            </a:solidFill>
            <a:ln>
              <a:noFill/>
            </a:ln>
            <a:effectLst/>
          </c:spPr>
          <c:invertIfNegative val="0"/>
          <c:cat>
            <c:strRef>
              <c:f>'16S\[16s Result.xlsx]Genus'!$U$26:$U$29</c:f>
              <c:strCache>
                <c:ptCount val="4"/>
                <c:pt idx="0">
                  <c:v>Commercial Milk Kefir</c:v>
                </c:pt>
                <c:pt idx="1">
                  <c:v>Optimised Milk Kefir</c:v>
                </c:pt>
                <c:pt idx="2">
                  <c:v>Commercial Tempeh</c:v>
                </c:pt>
                <c:pt idx="3">
                  <c:v>Optimised Tempeh</c:v>
                </c:pt>
              </c:strCache>
            </c:strRef>
          </c:cat>
          <c:val>
            <c:numRef>
              <c:f>'16S\[16s Result.xlsx]Genus'!$AA$26:$AA$29</c:f>
              <c:numCache>
                <c:formatCode>General</c:formatCode>
                <c:ptCount val="4"/>
                <c:pt idx="0">
                  <c:v>0</c:v>
                </c:pt>
                <c:pt idx="1">
                  <c:v>0</c:v>
                </c:pt>
                <c:pt idx="2">
                  <c:v>2.3369787176112973</c:v>
                </c:pt>
                <c:pt idx="3">
                  <c:v>0.37025607636140334</c:v>
                </c:pt>
              </c:numCache>
            </c:numRef>
          </c:val>
          <c:extLst xmlns="http://schemas.openxmlformats.org/drawingml/2006/chart">
            <c:ext xmlns:c16="http://schemas.microsoft.com/office/drawing/2014/chart" uri="{C3380CC4-5D6E-409C-BE32-E72D297353CC}">
              <c16:uniqueId val="{00000005-312E-4006-8142-C5739960734B}"/>
            </c:ext>
          </c:extLst>
        </c:ser>
        <c:ser>
          <c:idx val="6"/>
          <c:order val="6"/>
          <c:tx>
            <c:strRef>
              <c:f>'16S\[16s Result.xlsx]Genus'!$AB$25</c:f>
              <c:strCache>
                <c:ptCount val="1"/>
                <c:pt idx="0">
                  <c:v>Limosilactobacillus</c:v>
                </c:pt>
              </c:strCache>
            </c:strRef>
          </c:tx>
          <c:spPr>
            <a:solidFill>
              <a:schemeClr val="accent1">
                <a:lumMod val="60000"/>
              </a:schemeClr>
            </a:solidFill>
            <a:ln>
              <a:noFill/>
            </a:ln>
            <a:effectLst/>
          </c:spPr>
          <c:invertIfNegative val="0"/>
          <c:cat>
            <c:strRef>
              <c:f>'16S\[16s Result.xlsx]Genus'!$U$26:$U$29</c:f>
              <c:strCache>
                <c:ptCount val="4"/>
                <c:pt idx="0">
                  <c:v>Commercial Milk Kefir</c:v>
                </c:pt>
                <c:pt idx="1">
                  <c:v>Optimised Milk Kefir</c:v>
                </c:pt>
                <c:pt idx="2">
                  <c:v>Commercial Tempeh</c:v>
                </c:pt>
                <c:pt idx="3">
                  <c:v>Optimised Tempeh</c:v>
                </c:pt>
              </c:strCache>
            </c:strRef>
          </c:cat>
          <c:val>
            <c:numRef>
              <c:f>'16S\[16s Result.xlsx]Genus'!$AB$26:$AB$29</c:f>
              <c:numCache>
                <c:formatCode>General</c:formatCode>
                <c:ptCount val="4"/>
                <c:pt idx="0">
                  <c:v>0</c:v>
                </c:pt>
                <c:pt idx="1">
                  <c:v>0</c:v>
                </c:pt>
                <c:pt idx="2">
                  <c:v>14.679856604801053</c:v>
                </c:pt>
                <c:pt idx="3">
                  <c:v>0</c:v>
                </c:pt>
              </c:numCache>
            </c:numRef>
          </c:val>
          <c:extLst xmlns="http://schemas.openxmlformats.org/drawingml/2006/chart">
            <c:ext xmlns:c16="http://schemas.microsoft.com/office/drawing/2014/chart" uri="{C3380CC4-5D6E-409C-BE32-E72D297353CC}">
              <c16:uniqueId val="{00000006-312E-4006-8142-C5739960734B}"/>
            </c:ext>
          </c:extLst>
        </c:ser>
        <c:ser>
          <c:idx val="7"/>
          <c:order val="7"/>
          <c:tx>
            <c:strRef>
              <c:f>'16S\[16s Result.xlsx]Genus'!$AC$25</c:f>
              <c:strCache>
                <c:ptCount val="1"/>
                <c:pt idx="0">
                  <c:v>Acetobacter</c:v>
                </c:pt>
              </c:strCache>
            </c:strRef>
          </c:tx>
          <c:spPr>
            <a:solidFill>
              <a:schemeClr val="accent2">
                <a:lumMod val="60000"/>
              </a:schemeClr>
            </a:solidFill>
            <a:ln>
              <a:noFill/>
            </a:ln>
            <a:effectLst/>
          </c:spPr>
          <c:invertIfNegative val="0"/>
          <c:cat>
            <c:strRef>
              <c:f>'16S\[16s Result.xlsx]Genus'!$U$26:$U$29</c:f>
              <c:strCache>
                <c:ptCount val="4"/>
                <c:pt idx="0">
                  <c:v>Commercial Milk Kefir</c:v>
                </c:pt>
                <c:pt idx="1">
                  <c:v>Optimised Milk Kefir</c:v>
                </c:pt>
                <c:pt idx="2">
                  <c:v>Commercial Tempeh</c:v>
                </c:pt>
                <c:pt idx="3">
                  <c:v>Optimised Tempeh</c:v>
                </c:pt>
              </c:strCache>
            </c:strRef>
          </c:cat>
          <c:val>
            <c:numRef>
              <c:f>'16S\[16s Result.xlsx]Genus'!$AC$26:$AC$29</c:f>
              <c:numCache>
                <c:formatCode>General</c:formatCode>
                <c:ptCount val="4"/>
                <c:pt idx="0">
                  <c:v>0</c:v>
                </c:pt>
                <c:pt idx="1">
                  <c:v>2.5181852136641427</c:v>
                </c:pt>
                <c:pt idx="2">
                  <c:v>5.3364795571085004</c:v>
                </c:pt>
                <c:pt idx="3">
                  <c:v>0</c:v>
                </c:pt>
              </c:numCache>
            </c:numRef>
          </c:val>
          <c:extLst xmlns="http://schemas.openxmlformats.org/drawingml/2006/chart">
            <c:ext xmlns:c16="http://schemas.microsoft.com/office/drawing/2014/chart" uri="{C3380CC4-5D6E-409C-BE32-E72D297353CC}">
              <c16:uniqueId val="{00000007-312E-4006-8142-C5739960734B}"/>
            </c:ext>
          </c:extLst>
        </c:ser>
        <c:ser>
          <c:idx val="8"/>
          <c:order val="8"/>
          <c:tx>
            <c:strRef>
              <c:f>'16S\[16s Result.xlsx]Genus'!$AD$25</c:f>
              <c:strCache>
                <c:ptCount val="1"/>
                <c:pt idx="0">
                  <c:v>Lactobacillus</c:v>
                </c:pt>
              </c:strCache>
            </c:strRef>
          </c:tx>
          <c:spPr>
            <a:solidFill>
              <a:schemeClr val="accent3">
                <a:lumMod val="60000"/>
              </a:schemeClr>
            </a:solidFill>
            <a:ln>
              <a:noFill/>
            </a:ln>
            <a:effectLst/>
          </c:spPr>
          <c:invertIfNegative val="0"/>
          <c:cat>
            <c:strRef>
              <c:f>'16S\[16s Result.xlsx]Genus'!$U$26:$U$29</c:f>
              <c:strCache>
                <c:ptCount val="4"/>
                <c:pt idx="0">
                  <c:v>Commercial Milk Kefir</c:v>
                </c:pt>
                <c:pt idx="1">
                  <c:v>Optimised Milk Kefir</c:v>
                </c:pt>
                <c:pt idx="2">
                  <c:v>Commercial Tempeh</c:v>
                </c:pt>
                <c:pt idx="3">
                  <c:v>Optimised Tempeh</c:v>
                </c:pt>
              </c:strCache>
            </c:strRef>
          </c:cat>
          <c:val>
            <c:numRef>
              <c:f>'16S\[16s Result.xlsx]Genus'!$AD$26:$AD$29</c:f>
              <c:numCache>
                <c:formatCode>General</c:formatCode>
                <c:ptCount val="4"/>
                <c:pt idx="0">
                  <c:v>39.596091125183506</c:v>
                </c:pt>
                <c:pt idx="1">
                  <c:v>69.620155204873342</c:v>
                </c:pt>
                <c:pt idx="2">
                  <c:v>0</c:v>
                </c:pt>
                <c:pt idx="3">
                  <c:v>0</c:v>
                </c:pt>
              </c:numCache>
            </c:numRef>
          </c:val>
          <c:extLst xmlns="http://schemas.openxmlformats.org/drawingml/2006/chart">
            <c:ext xmlns:c16="http://schemas.microsoft.com/office/drawing/2014/chart" uri="{C3380CC4-5D6E-409C-BE32-E72D297353CC}">
              <c16:uniqueId val="{00000008-312E-4006-8142-C5739960734B}"/>
            </c:ext>
          </c:extLst>
        </c:ser>
        <c:ser>
          <c:idx val="9"/>
          <c:order val="9"/>
          <c:tx>
            <c:strRef>
              <c:f>'16S\[16s Result.xlsx]Genus'!$AE$25</c:f>
              <c:strCache>
                <c:ptCount val="1"/>
                <c:pt idx="0">
                  <c:v>Lacticaseibacillus</c:v>
                </c:pt>
              </c:strCache>
            </c:strRef>
          </c:tx>
          <c:spPr>
            <a:solidFill>
              <a:schemeClr val="accent4">
                <a:lumMod val="60000"/>
              </a:schemeClr>
            </a:solidFill>
            <a:ln>
              <a:noFill/>
            </a:ln>
            <a:effectLst/>
          </c:spPr>
          <c:invertIfNegative val="0"/>
          <c:cat>
            <c:strRef>
              <c:f>'16S\[16s Result.xlsx]Genus'!$U$26:$U$29</c:f>
              <c:strCache>
                <c:ptCount val="4"/>
                <c:pt idx="0">
                  <c:v>Commercial Milk Kefir</c:v>
                </c:pt>
                <c:pt idx="1">
                  <c:v>Optimised Milk Kefir</c:v>
                </c:pt>
                <c:pt idx="2">
                  <c:v>Commercial Tempeh</c:v>
                </c:pt>
                <c:pt idx="3">
                  <c:v>Optimised Tempeh</c:v>
                </c:pt>
              </c:strCache>
            </c:strRef>
          </c:cat>
          <c:val>
            <c:numRef>
              <c:f>'16S\[16s Result.xlsx]Genus'!$AE$26:$AE$29</c:f>
              <c:numCache>
                <c:formatCode>General</c:formatCode>
                <c:ptCount val="4"/>
                <c:pt idx="0">
                  <c:v>3.9543268492528023</c:v>
                </c:pt>
                <c:pt idx="1">
                  <c:v>1.0322153701653793</c:v>
                </c:pt>
                <c:pt idx="2">
                  <c:v>0</c:v>
                </c:pt>
                <c:pt idx="3">
                  <c:v>0</c:v>
                </c:pt>
              </c:numCache>
            </c:numRef>
          </c:val>
          <c:extLst xmlns="http://schemas.openxmlformats.org/drawingml/2006/chart">
            <c:ext xmlns:c16="http://schemas.microsoft.com/office/drawing/2014/chart" uri="{C3380CC4-5D6E-409C-BE32-E72D297353CC}">
              <c16:uniqueId val="{00000009-312E-4006-8142-C5739960734B}"/>
            </c:ext>
          </c:extLst>
        </c:ser>
        <c:ser>
          <c:idx val="10"/>
          <c:order val="10"/>
          <c:tx>
            <c:strRef>
              <c:f>'16S\[16s Result.xlsx]Genus'!$AF$25</c:f>
              <c:strCache>
                <c:ptCount val="1"/>
                <c:pt idx="0">
                  <c:v>Lactococcus</c:v>
                </c:pt>
              </c:strCache>
            </c:strRef>
          </c:tx>
          <c:spPr>
            <a:solidFill>
              <a:schemeClr val="accent5">
                <a:lumMod val="60000"/>
              </a:schemeClr>
            </a:solidFill>
            <a:ln>
              <a:noFill/>
            </a:ln>
            <a:effectLst/>
          </c:spPr>
          <c:invertIfNegative val="0"/>
          <c:cat>
            <c:strRef>
              <c:f>'16S\[16s Result.xlsx]Genus'!$U$26:$U$29</c:f>
              <c:strCache>
                <c:ptCount val="4"/>
                <c:pt idx="0">
                  <c:v>Commercial Milk Kefir</c:v>
                </c:pt>
                <c:pt idx="1">
                  <c:v>Optimised Milk Kefir</c:v>
                </c:pt>
                <c:pt idx="2">
                  <c:v>Commercial Tempeh</c:v>
                </c:pt>
                <c:pt idx="3">
                  <c:v>Optimised Tempeh</c:v>
                </c:pt>
              </c:strCache>
            </c:strRef>
          </c:cat>
          <c:val>
            <c:numRef>
              <c:f>'16S\[16s Result.xlsx]Genus'!$AF$26:$AF$29</c:f>
              <c:numCache>
                <c:formatCode>General</c:formatCode>
                <c:ptCount val="4"/>
                <c:pt idx="0">
                  <c:v>0.22480329711502459</c:v>
                </c:pt>
                <c:pt idx="1">
                  <c:v>0.22220710384021131</c:v>
                </c:pt>
                <c:pt idx="2">
                  <c:v>0</c:v>
                </c:pt>
                <c:pt idx="3">
                  <c:v>0</c:v>
                </c:pt>
              </c:numCache>
            </c:numRef>
          </c:val>
          <c:extLst xmlns="http://schemas.openxmlformats.org/drawingml/2006/chart">
            <c:ext xmlns:c16="http://schemas.microsoft.com/office/drawing/2014/chart" uri="{C3380CC4-5D6E-409C-BE32-E72D297353CC}">
              <c16:uniqueId val="{0000000A-312E-4006-8142-C5739960734B}"/>
            </c:ext>
          </c:extLst>
        </c:ser>
        <c:ser>
          <c:idx val="11"/>
          <c:order val="11"/>
          <c:tx>
            <c:strRef>
              <c:f>'16S\[16s Result.xlsx]Genus'!$AG$25</c:f>
              <c:strCache>
                <c:ptCount val="1"/>
                <c:pt idx="0">
                  <c:v>Leuconostoc</c:v>
                </c:pt>
              </c:strCache>
            </c:strRef>
          </c:tx>
          <c:spPr>
            <a:solidFill>
              <a:schemeClr val="accent6">
                <a:lumMod val="60000"/>
              </a:schemeClr>
            </a:solidFill>
            <a:ln>
              <a:noFill/>
            </a:ln>
            <a:effectLst/>
          </c:spPr>
          <c:invertIfNegative val="0"/>
          <c:cat>
            <c:strRef>
              <c:f>'16S\[16s Result.xlsx]Genus'!$U$26:$U$29</c:f>
              <c:strCache>
                <c:ptCount val="4"/>
                <c:pt idx="0">
                  <c:v>Commercial Milk Kefir</c:v>
                </c:pt>
                <c:pt idx="1">
                  <c:v>Optimised Milk Kefir</c:v>
                </c:pt>
                <c:pt idx="2">
                  <c:v>Commercial Tempeh</c:v>
                </c:pt>
                <c:pt idx="3">
                  <c:v>Optimised Tempeh</c:v>
                </c:pt>
              </c:strCache>
            </c:strRef>
          </c:cat>
          <c:val>
            <c:numRef>
              <c:f>'16S\[16s Result.xlsx]Genus'!$AG$26:$AG$29</c:f>
              <c:numCache>
                <c:formatCode>General</c:formatCode>
                <c:ptCount val="4"/>
                <c:pt idx="0">
                  <c:v>0.13512766493252834</c:v>
                </c:pt>
                <c:pt idx="1">
                  <c:v>4.2870762316286185E-2</c:v>
                </c:pt>
                <c:pt idx="2">
                  <c:v>0</c:v>
                </c:pt>
                <c:pt idx="3">
                  <c:v>0</c:v>
                </c:pt>
              </c:numCache>
            </c:numRef>
          </c:val>
          <c:extLst xmlns="http://schemas.openxmlformats.org/drawingml/2006/chart">
            <c:ext xmlns:c16="http://schemas.microsoft.com/office/drawing/2014/chart" uri="{C3380CC4-5D6E-409C-BE32-E72D297353CC}">
              <c16:uniqueId val="{0000000B-312E-4006-8142-C5739960734B}"/>
            </c:ext>
          </c:extLst>
        </c:ser>
        <c:ser>
          <c:idx val="12"/>
          <c:order val="12"/>
          <c:tx>
            <c:strRef>
              <c:f>'16S\[16s Result.xlsx]Genus'!$AH$25</c:f>
              <c:strCache>
                <c:ptCount val="1"/>
                <c:pt idx="0">
                  <c:v>Lentilactobacillus</c:v>
                </c:pt>
              </c:strCache>
            </c:strRef>
          </c:tx>
          <c:spPr>
            <a:solidFill>
              <a:schemeClr val="accent1">
                <a:lumMod val="80000"/>
                <a:lumOff val="20000"/>
              </a:schemeClr>
            </a:solidFill>
            <a:ln>
              <a:noFill/>
            </a:ln>
            <a:effectLst/>
          </c:spPr>
          <c:invertIfNegative val="0"/>
          <c:val>
            <c:numRef>
              <c:f>'16S\[16s Result.xlsx]Genus'!$AH$26:$AH$29</c:f>
              <c:numCache>
                <c:formatCode>General</c:formatCode>
                <c:ptCount val="4"/>
                <c:pt idx="0">
                  <c:v>0</c:v>
                </c:pt>
                <c:pt idx="1">
                  <c:v>0.97456234727661872</c:v>
                </c:pt>
                <c:pt idx="2">
                  <c:v>0</c:v>
                </c:pt>
                <c:pt idx="3">
                  <c:v>0</c:v>
                </c:pt>
              </c:numCache>
            </c:numRef>
          </c:val>
          <c:extLst xmlns="http://schemas.openxmlformats.org/drawingml/2006/chart">
            <c:ext xmlns:c16="http://schemas.microsoft.com/office/drawing/2014/chart" uri="{C3380CC4-5D6E-409C-BE32-E72D297353CC}">
              <c16:uniqueId val="{0000000C-312E-4006-8142-C5739960734B}"/>
            </c:ext>
          </c:extLst>
        </c:ser>
        <c:dLbls>
          <c:showLegendKey val="0"/>
          <c:showVal val="0"/>
          <c:showCatName val="0"/>
          <c:showSerName val="0"/>
          <c:showPercent val="0"/>
          <c:showBubbleSize val="0"/>
        </c:dLbls>
        <c:gapWidth val="150"/>
        <c:overlap val="100"/>
        <c:axId val="366045552"/>
        <c:axId val="366062352"/>
      </c:barChart>
      <c:catAx>
        <c:axId val="366045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MY">
                    <a:latin typeface="Times New Roman" panose="02020603050405020304" pitchFamily="18" charset="0"/>
                    <a:cs typeface="Times New Roman" panose="02020603050405020304" pitchFamily="18" charset="0"/>
                  </a:rPr>
                  <a:t>Sample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6062352"/>
        <c:crosses val="autoZero"/>
        <c:auto val="1"/>
        <c:lblAlgn val="ctr"/>
        <c:lblOffset val="100"/>
        <c:noMultiLvlLbl val="0"/>
      </c:catAx>
      <c:valAx>
        <c:axId val="366062352"/>
        <c:scaling>
          <c:orientation val="minMax"/>
          <c:max val="10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MY">
                    <a:latin typeface="Times New Roman" panose="02020603050405020304" pitchFamily="18" charset="0"/>
                    <a:cs typeface="Times New Roman" panose="02020603050405020304" pitchFamily="18" charset="0"/>
                  </a:rPr>
                  <a:t>Abundance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045552"/>
        <c:crosses val="autoZero"/>
        <c:crossBetween val="between"/>
        <c:majorUnit val="10"/>
      </c:valAx>
      <c:spPr>
        <a:solidFill>
          <a:schemeClr val="lt1"/>
        </a:solidFill>
        <a:ln w="12700" cap="flat" cmpd="sng" algn="ctr">
          <a:solidFill>
            <a:schemeClr val="dk1"/>
          </a:solidFill>
          <a:prstDash val="solid"/>
          <a:miter lim="800000"/>
        </a:ln>
        <a:effectLst/>
      </c:spPr>
    </c:plotArea>
    <c:legend>
      <c:legendPos val="r"/>
      <c:layout>
        <c:manualLayout>
          <c:xMode val="edge"/>
          <c:yMode val="edge"/>
          <c:x val="0.70454266522149045"/>
          <c:y val="5.3961638226306757E-2"/>
          <c:w val="0.25365381133867676"/>
          <c:h val="0.8334256971544246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92E84A244B49718D1A377591EA1135"/>
        <w:category>
          <w:name w:val="General"/>
          <w:gallery w:val="placeholder"/>
        </w:category>
        <w:types>
          <w:type w:val="bbPlcHdr"/>
        </w:types>
        <w:behaviors>
          <w:behavior w:val="content"/>
        </w:behaviors>
        <w:guid w:val="{CDD94C12-4637-43C3-956F-C1FB1BF33C4F}"/>
      </w:docPartPr>
      <w:docPartBody>
        <w:p w:rsidR="00444B14" w:rsidRDefault="000A062C" w:rsidP="000A062C">
          <w:pPr>
            <w:pStyle w:val="BE92E84A244B49718D1A377591EA1135"/>
          </w:pPr>
          <w:r w:rsidRPr="00FA458A">
            <w:rPr>
              <w:rStyle w:val="PlaceholderText"/>
            </w:rPr>
            <w:t>Click or tap here to enter text.</w:t>
          </w:r>
        </w:p>
      </w:docPartBody>
    </w:docPart>
    <w:docPart>
      <w:docPartPr>
        <w:name w:val="66FC55CCBBFD4E95B2D3B07ADFAC19E9"/>
        <w:category>
          <w:name w:val="General"/>
          <w:gallery w:val="placeholder"/>
        </w:category>
        <w:types>
          <w:type w:val="bbPlcHdr"/>
        </w:types>
        <w:behaviors>
          <w:behavior w:val="content"/>
        </w:behaviors>
        <w:guid w:val="{240F5DF5-23C3-42CB-8937-D84D34D3ED35}"/>
      </w:docPartPr>
      <w:docPartBody>
        <w:p w:rsidR="00444B14" w:rsidRDefault="000A062C" w:rsidP="000A062C">
          <w:pPr>
            <w:pStyle w:val="66FC55CCBBFD4E95B2D3B07ADFAC19E9"/>
          </w:pPr>
          <w:r w:rsidRPr="00944927">
            <w:rPr>
              <w:rStyle w:val="PlaceholderText"/>
            </w:rPr>
            <w:t>Click or tap here to enter text.</w:t>
          </w:r>
        </w:p>
      </w:docPartBody>
    </w:docPart>
    <w:docPart>
      <w:docPartPr>
        <w:name w:val="4EA4029805AF46069F8C317FEECC3125"/>
        <w:category>
          <w:name w:val="General"/>
          <w:gallery w:val="placeholder"/>
        </w:category>
        <w:types>
          <w:type w:val="bbPlcHdr"/>
        </w:types>
        <w:behaviors>
          <w:behavior w:val="content"/>
        </w:behaviors>
        <w:guid w:val="{51DD81A4-4815-4692-87BE-6C0D2C7E8613}"/>
      </w:docPartPr>
      <w:docPartBody>
        <w:p w:rsidR="00444B14" w:rsidRDefault="000A062C" w:rsidP="000A062C">
          <w:pPr>
            <w:pStyle w:val="4EA4029805AF46069F8C317FEECC3125"/>
          </w:pPr>
          <w:r w:rsidRPr="00944927">
            <w:rPr>
              <w:rStyle w:val="PlaceholderText"/>
            </w:rPr>
            <w:t>Click or tap here to enter text.</w:t>
          </w:r>
        </w:p>
      </w:docPartBody>
    </w:docPart>
    <w:docPart>
      <w:docPartPr>
        <w:name w:val="4743B2FE71094BBE8EF00C73CBA32E1A"/>
        <w:category>
          <w:name w:val="General"/>
          <w:gallery w:val="placeholder"/>
        </w:category>
        <w:types>
          <w:type w:val="bbPlcHdr"/>
        </w:types>
        <w:behaviors>
          <w:behavior w:val="content"/>
        </w:behaviors>
        <w:guid w:val="{47A1F5F5-0410-44B4-93E5-F69473587999}"/>
      </w:docPartPr>
      <w:docPartBody>
        <w:p w:rsidR="00444B14" w:rsidRDefault="000A062C" w:rsidP="000A062C">
          <w:pPr>
            <w:pStyle w:val="4743B2FE71094BBE8EF00C73CBA32E1A"/>
          </w:pPr>
          <w:r w:rsidRPr="00944927">
            <w:rPr>
              <w:rStyle w:val="PlaceholderText"/>
            </w:rPr>
            <w:t>Click or tap here to enter text.</w:t>
          </w:r>
        </w:p>
      </w:docPartBody>
    </w:docPart>
    <w:docPart>
      <w:docPartPr>
        <w:name w:val="584DF1DDECD04AD3BBF2EAC848DF07D9"/>
        <w:category>
          <w:name w:val="General"/>
          <w:gallery w:val="placeholder"/>
        </w:category>
        <w:types>
          <w:type w:val="bbPlcHdr"/>
        </w:types>
        <w:behaviors>
          <w:behavior w:val="content"/>
        </w:behaviors>
        <w:guid w:val="{F3216D79-6310-4FA0-BE3B-B1B450FEAB14}"/>
      </w:docPartPr>
      <w:docPartBody>
        <w:p w:rsidR="00444B14" w:rsidRDefault="000A062C" w:rsidP="000A062C">
          <w:pPr>
            <w:pStyle w:val="584DF1DDECD04AD3BBF2EAC848DF07D9"/>
          </w:pPr>
          <w:r w:rsidRPr="00FA458A">
            <w:rPr>
              <w:rStyle w:val="PlaceholderText"/>
            </w:rPr>
            <w:t>Click or tap here to enter text.</w:t>
          </w:r>
        </w:p>
      </w:docPartBody>
    </w:docPart>
    <w:docPart>
      <w:docPartPr>
        <w:name w:val="D101CECD56634895B888765FB17924E5"/>
        <w:category>
          <w:name w:val="General"/>
          <w:gallery w:val="placeholder"/>
        </w:category>
        <w:types>
          <w:type w:val="bbPlcHdr"/>
        </w:types>
        <w:behaviors>
          <w:behavior w:val="content"/>
        </w:behaviors>
        <w:guid w:val="{16B4F670-6A7E-425B-966B-281EEE347C31}"/>
      </w:docPartPr>
      <w:docPartBody>
        <w:p w:rsidR="00AB4FCF" w:rsidRDefault="00EE1245" w:rsidP="00EE1245">
          <w:pPr>
            <w:pStyle w:val="D101CECD56634895B888765FB17924E5"/>
          </w:pPr>
          <w:r w:rsidRPr="00FA45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2C"/>
    <w:rsid w:val="000A062C"/>
    <w:rsid w:val="000D42EC"/>
    <w:rsid w:val="00100AA9"/>
    <w:rsid w:val="00174100"/>
    <w:rsid w:val="0024654E"/>
    <w:rsid w:val="002569C8"/>
    <w:rsid w:val="00383085"/>
    <w:rsid w:val="003C2A45"/>
    <w:rsid w:val="00444B14"/>
    <w:rsid w:val="00446569"/>
    <w:rsid w:val="005D650F"/>
    <w:rsid w:val="0060027E"/>
    <w:rsid w:val="006355C7"/>
    <w:rsid w:val="00684978"/>
    <w:rsid w:val="006B5148"/>
    <w:rsid w:val="00A53487"/>
    <w:rsid w:val="00A60636"/>
    <w:rsid w:val="00AB4FCF"/>
    <w:rsid w:val="00B33695"/>
    <w:rsid w:val="00BE6A9C"/>
    <w:rsid w:val="00C00A40"/>
    <w:rsid w:val="00CD02BF"/>
    <w:rsid w:val="00CD704E"/>
    <w:rsid w:val="00DA0025"/>
    <w:rsid w:val="00E92F3D"/>
    <w:rsid w:val="00EE1245"/>
    <w:rsid w:val="00F52802"/>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Y"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245"/>
    <w:rPr>
      <w:color w:val="666666"/>
    </w:rPr>
  </w:style>
  <w:style w:type="paragraph" w:customStyle="1" w:styleId="BE92E84A244B49718D1A377591EA1135">
    <w:name w:val="BE92E84A244B49718D1A377591EA1135"/>
    <w:rsid w:val="000A062C"/>
  </w:style>
  <w:style w:type="paragraph" w:customStyle="1" w:styleId="66FC55CCBBFD4E95B2D3B07ADFAC19E9">
    <w:name w:val="66FC55CCBBFD4E95B2D3B07ADFAC19E9"/>
    <w:rsid w:val="000A062C"/>
  </w:style>
  <w:style w:type="paragraph" w:customStyle="1" w:styleId="4EA4029805AF46069F8C317FEECC3125">
    <w:name w:val="4EA4029805AF46069F8C317FEECC3125"/>
    <w:rsid w:val="000A062C"/>
  </w:style>
  <w:style w:type="paragraph" w:customStyle="1" w:styleId="4743B2FE71094BBE8EF00C73CBA32E1A">
    <w:name w:val="4743B2FE71094BBE8EF00C73CBA32E1A"/>
    <w:rsid w:val="000A062C"/>
  </w:style>
  <w:style w:type="paragraph" w:customStyle="1" w:styleId="584DF1DDECD04AD3BBF2EAC848DF07D9">
    <w:name w:val="584DF1DDECD04AD3BBF2EAC848DF07D9"/>
    <w:rsid w:val="000A062C"/>
  </w:style>
  <w:style w:type="paragraph" w:customStyle="1" w:styleId="D101CECD56634895B888765FB17924E5">
    <w:name w:val="D101CECD56634895B888765FB17924E5"/>
    <w:rsid w:val="00EE1245"/>
    <w:pPr>
      <w:spacing w:line="259" w:lineRule="auto"/>
    </w:pPr>
    <w:rPr>
      <w:kern w:val="0"/>
      <w:sz w:val="22"/>
      <w:szCs w:val="22"/>
      <w:lang w:val="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6"/>
</file>

<file path=customXml/itemProps1.xml><?xml version="1.0" encoding="utf-8"?>
<ds:datastoreItem xmlns:ds="http://schemas.openxmlformats.org/officeDocument/2006/customXml" ds:itemID="{0E697338-0F99-43EA-A726-4BCAF9D7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6</Pages>
  <Words>4008</Words>
  <Characters>22852</Characters>
  <Application>Microsoft Office Word</Application>
  <DocSecurity>0</DocSecurity>
  <Lines>190</Lines>
  <Paragraphs>53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CHIN NYUK LING</cp:lastModifiedBy>
  <cp:revision>16</cp:revision>
  <cp:lastPrinted>2015-05-12T18:31:00Z</cp:lastPrinted>
  <dcterms:created xsi:type="dcterms:W3CDTF">2025-05-23T12:52:00Z</dcterms:created>
  <dcterms:modified xsi:type="dcterms:W3CDTF">2025-06-05T09:31:00Z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629e8852-18b4-3dea-93c3-c967053aa67d</vt:lpwstr>
  </property>
  <property fmtid="{D5CDD505-2E9C-101B-9397-08002B2CF9AE}" pid="6" name="Mendeley Citation Style_1">
    <vt:lpwstr>http://www.zotero.org/styles/universiti-kebangsaan-malaysia</vt:lpwstr>
  </property>
</Properties>
</file>